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CA" w:rsidRDefault="000F33CA" w:rsidP="00CC3C92">
      <w:pPr>
        <w:pStyle w:val="referencesheading"/>
        <w:spacing w:after="0" w:line="480" w:lineRule="auto"/>
        <w:jc w:val="left"/>
        <w:outlineLvl w:val="0"/>
        <w:rPr>
          <w:rFonts w:ascii="Times New Roman" w:hAnsi="Times New Roman" w:cs="Times New Roman"/>
          <w:color w:val="000000"/>
        </w:rPr>
      </w:pPr>
      <w:r w:rsidRPr="00FB4D0A">
        <w:rPr>
          <w:rFonts w:ascii="Times New Roman" w:hAnsi="Times New Roman" w:cs="Times New Roman"/>
          <w:color w:val="000000"/>
          <w:sz w:val="36"/>
        </w:rPr>
        <w:t xml:space="preserve">116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FB4D0A">
        <w:rPr>
          <w:rFonts w:ascii="Times New Roman" w:hAnsi="Times New Roman" w:cs="Times New Roman"/>
          <w:color w:val="000000"/>
          <w:sz w:val="36"/>
        </w:rPr>
        <w:t>Polycythemia and Hyperviscosity</w:t>
      </w:r>
    </w:p>
    <w:p w:rsidR="00CC3C92" w:rsidRPr="00D62A04" w:rsidRDefault="00CC3C92" w:rsidP="00CC3C92">
      <w:pPr>
        <w:pStyle w:val="referencesheading"/>
        <w:spacing w:after="0" w:line="480" w:lineRule="auto"/>
        <w:jc w:val="left"/>
        <w:outlineLvl w:val="0"/>
        <w:rPr>
          <w:rFonts w:ascii="Times New Roman" w:hAnsi="Times New Roman" w:cs="Times New Roman"/>
          <w:color w:val="000000"/>
        </w:rPr>
      </w:pPr>
      <w:r w:rsidRPr="00D62A04">
        <w:rPr>
          <w:rFonts w:ascii="Times New Roman" w:hAnsi="Times New Roman" w:cs="Times New Roman"/>
          <w:color w:val="000000"/>
        </w:rPr>
        <w:t>Selected</w:t>
      </w:r>
      <w:bookmarkStart w:id="0" w:name="_GoBack"/>
      <w:bookmarkEnd w:id="0"/>
      <w:r w:rsidRPr="00D62A04">
        <w:rPr>
          <w:rFonts w:ascii="Times New Roman" w:hAnsi="Times New Roman" w:cs="Times New Roman"/>
          <w:color w:val="000000"/>
        </w:rPr>
        <w:t xml:space="preserve"> References</w:t>
      </w:r>
    </w:p>
    <w:p w:rsidR="00CC3C92" w:rsidRPr="00D62A04" w:rsidRDefault="00CC3C92" w:rsidP="00FB4D0A">
      <w:pPr>
        <w:widowControl/>
        <w:autoSpaceDE/>
        <w:autoSpaceDN/>
        <w:adjustRightInd/>
        <w:spacing w:line="480" w:lineRule="auto"/>
        <w:ind w:left="0" w:firstLine="0"/>
        <w:jc w:val="left"/>
        <w:textAlignment w:val="auto"/>
        <w:rPr>
          <w:rFonts w:ascii="Times New Roman" w:eastAsia="Calibri" w:hAnsi="Times New Roman" w:cs="Times New Roman"/>
        </w:rPr>
      </w:pPr>
      <w:r w:rsidRPr="00D62A04">
        <w:rPr>
          <w:rFonts w:ascii="Times New Roman" w:hAnsi="Times New Roman" w:cs="Times New Roman"/>
        </w:rPr>
        <w:t>Committee Opinion No. 684 Summary: delayed umbilical cord clamping after birth.</w:t>
      </w:r>
    </w:p>
    <w:p w:rsidR="00CC3C92" w:rsidRPr="00D62A04" w:rsidRDefault="00CC3C92" w:rsidP="00FB4D0A">
      <w:pPr>
        <w:widowControl/>
        <w:autoSpaceDE/>
        <w:autoSpaceDN/>
        <w:adjustRightInd/>
        <w:spacing w:line="480" w:lineRule="auto"/>
        <w:ind w:left="0" w:firstLine="0"/>
        <w:jc w:val="left"/>
        <w:textAlignment w:val="auto"/>
        <w:rPr>
          <w:rStyle w:val="italic"/>
          <w:rFonts w:ascii="Times New Roman" w:hAnsi="Times New Roman" w:cs="Times New Roman"/>
        </w:rPr>
      </w:pPr>
      <w:r w:rsidRPr="00D62A04">
        <w:rPr>
          <w:rStyle w:val="italic"/>
          <w:rFonts w:ascii="Times New Roman" w:hAnsi="Times New Roman" w:cs="Times New Roman"/>
        </w:rPr>
        <w:t xml:space="preserve">Obstet Gynecol. </w:t>
      </w:r>
      <w:r w:rsidRPr="000F33CA">
        <w:rPr>
          <w:rStyle w:val="italic"/>
          <w:rFonts w:ascii="Times New Roman" w:hAnsi="Times New Roman" w:cs="Times New Roman"/>
          <w:i w:val="0"/>
        </w:rPr>
        <w:t>2017;129(1):232-233.</w:t>
      </w:r>
    </w:p>
    <w:p w:rsidR="00CC3C92" w:rsidRPr="00D62A04" w:rsidRDefault="00CC3C92" w:rsidP="00FB4D0A">
      <w:pPr>
        <w:pStyle w:val="referencestext"/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62A04">
        <w:rPr>
          <w:rFonts w:ascii="Times New Roman" w:hAnsi="Times New Roman" w:cs="Times New Roman"/>
          <w:sz w:val="24"/>
          <w:szCs w:val="24"/>
        </w:rPr>
        <w:t>Dempsey EM, Barrington K.</w:t>
      </w:r>
      <w:r w:rsidR="000F33CA">
        <w:rPr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Fonts w:ascii="Times New Roman" w:hAnsi="Times New Roman" w:cs="Times New Roman"/>
          <w:sz w:val="24"/>
          <w:szCs w:val="24"/>
        </w:rPr>
        <w:t xml:space="preserve">Crystalloid or colloid for partial exchange transfusion in neonatal polycythemia: a systematic review and meta-analysis.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>Acta Paediatr.</w:t>
      </w:r>
      <w:r w:rsidRPr="00D62A04">
        <w:rPr>
          <w:rFonts w:ascii="Times New Roman" w:hAnsi="Times New Roman" w:cs="Times New Roman"/>
          <w:sz w:val="24"/>
          <w:szCs w:val="24"/>
        </w:rPr>
        <w:t xml:space="preserve"> 2005;94:1650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62A04">
        <w:rPr>
          <w:rFonts w:ascii="Times New Roman" w:hAnsi="Times New Roman" w:cs="Times New Roman"/>
          <w:sz w:val="24"/>
          <w:szCs w:val="24"/>
        </w:rPr>
        <w:t>1655.</w:t>
      </w:r>
    </w:p>
    <w:p w:rsidR="00CC3C92" w:rsidRPr="00D62A04" w:rsidRDefault="00CC3C92" w:rsidP="00FB4D0A">
      <w:pPr>
        <w:pStyle w:val="referencestext"/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62A04">
        <w:rPr>
          <w:rFonts w:ascii="Times New Roman" w:hAnsi="Times New Roman" w:cs="Times New Roman"/>
          <w:sz w:val="24"/>
          <w:szCs w:val="24"/>
        </w:rPr>
        <w:t>Dempsey EM, Barrington K.</w:t>
      </w:r>
      <w:r w:rsidR="000F33CA">
        <w:rPr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Fonts w:ascii="Times New Roman" w:hAnsi="Times New Roman" w:cs="Times New Roman"/>
          <w:sz w:val="24"/>
          <w:szCs w:val="24"/>
        </w:rPr>
        <w:t>Short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62A04">
        <w:rPr>
          <w:rFonts w:ascii="Times New Roman" w:hAnsi="Times New Roman" w:cs="Times New Roman"/>
          <w:sz w:val="24"/>
          <w:szCs w:val="24"/>
        </w:rPr>
        <w:t xml:space="preserve"> and long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62A04">
        <w:rPr>
          <w:rFonts w:ascii="Times New Roman" w:hAnsi="Times New Roman" w:cs="Times New Roman"/>
          <w:sz w:val="24"/>
          <w:szCs w:val="24"/>
        </w:rPr>
        <w:t xml:space="preserve">term outcomes following partial exchange transfusion in the polycythaemic newborn: a systematic review.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>Arch Dis Child Fetal Neonatal Ed.</w:t>
      </w:r>
      <w:r w:rsidRPr="00D62A04">
        <w:rPr>
          <w:rFonts w:ascii="Times New Roman" w:hAnsi="Times New Roman" w:cs="Times New Roman"/>
          <w:sz w:val="24"/>
          <w:szCs w:val="24"/>
        </w:rPr>
        <w:t xml:space="preserve"> 2006;91:F2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62A04">
        <w:rPr>
          <w:rFonts w:ascii="Times New Roman" w:hAnsi="Times New Roman" w:cs="Times New Roman"/>
          <w:sz w:val="24"/>
          <w:szCs w:val="24"/>
        </w:rPr>
        <w:t>F6.</w:t>
      </w:r>
    </w:p>
    <w:p w:rsidR="00CC3C92" w:rsidRPr="00D62A04" w:rsidRDefault="00CC3C92" w:rsidP="00FB4D0A">
      <w:pPr>
        <w:pStyle w:val="referencestext"/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62A04">
        <w:rPr>
          <w:rFonts w:ascii="Times New Roman" w:hAnsi="Times New Roman" w:cs="Times New Roman"/>
          <w:sz w:val="24"/>
          <w:szCs w:val="24"/>
        </w:rPr>
        <w:t>Katheria AC, Lakshminrusimha S, Rabe H, McAdams R, Mercer JS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62A04">
        <w:rPr>
          <w:rFonts w:ascii="Times New Roman" w:hAnsi="Times New Roman" w:cs="Times New Roman"/>
          <w:sz w:val="24"/>
          <w:szCs w:val="24"/>
        </w:rPr>
        <w:t>Placental transfusion: a review.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>J</w:t>
      </w:r>
      <w:r>
        <w:rPr>
          <w:rStyle w:val="italic"/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>Perinatol</w:t>
      </w:r>
      <w:r>
        <w:rPr>
          <w:rStyle w:val="italic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0F33CA">
        <w:rPr>
          <w:rStyle w:val="italic"/>
          <w:rFonts w:ascii="Times New Roman" w:hAnsi="Times New Roman" w:cs="Times New Roman"/>
          <w:i w:val="0"/>
          <w:sz w:val="24"/>
          <w:szCs w:val="24"/>
        </w:rPr>
        <w:t>2017;37:105-111</w:t>
      </w:r>
      <w:r>
        <w:rPr>
          <w:rStyle w:val="italic"/>
          <w:rFonts w:ascii="Times New Roman" w:hAnsi="Times New Roman" w:cs="Times New Roman"/>
          <w:i w:val="0"/>
          <w:sz w:val="24"/>
          <w:szCs w:val="24"/>
        </w:rPr>
        <w:t>.</w:t>
      </w:r>
    </w:p>
    <w:p w:rsidR="00CC3C92" w:rsidRPr="00D62A04" w:rsidRDefault="00CC3C92" w:rsidP="00FB4D0A">
      <w:pPr>
        <w:pStyle w:val="p1"/>
        <w:spacing w:line="48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D62A04">
        <w:rPr>
          <w:rFonts w:ascii="Times New Roman" w:hAnsi="Times New Roman"/>
          <w:color w:val="000000"/>
          <w:sz w:val="24"/>
          <w:szCs w:val="24"/>
        </w:rPr>
        <w:t>Mimouni FB,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A04">
        <w:rPr>
          <w:rFonts w:ascii="Times New Roman" w:hAnsi="Times New Roman"/>
          <w:color w:val="000000"/>
          <w:sz w:val="24"/>
          <w:szCs w:val="24"/>
        </w:rPr>
        <w:t>Merlob P,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A04">
        <w:rPr>
          <w:rFonts w:ascii="Times New Roman" w:hAnsi="Times New Roman"/>
          <w:color w:val="000000"/>
          <w:sz w:val="24"/>
          <w:szCs w:val="24"/>
        </w:rPr>
        <w:t>Dollberg D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62A04">
        <w:rPr>
          <w:rFonts w:ascii="Times New Roman" w:hAnsi="Times New Roman"/>
          <w:color w:val="000000"/>
          <w:sz w:val="24"/>
          <w:szCs w:val="24"/>
        </w:rPr>
        <w:t xml:space="preserve"> Neonatal </w:t>
      </w:r>
      <w:proofErr w:type="spellStart"/>
      <w:r w:rsidRPr="00D62A04">
        <w:rPr>
          <w:rFonts w:ascii="Times New Roman" w:hAnsi="Times New Roman"/>
          <w:color w:val="000000"/>
          <w:sz w:val="24"/>
          <w:szCs w:val="24"/>
        </w:rPr>
        <w:t>polycythaemia</w:t>
      </w:r>
      <w:proofErr w:type="spellEnd"/>
      <w:r w:rsidRPr="00D62A04">
        <w:rPr>
          <w:rFonts w:ascii="Times New Roman" w:hAnsi="Times New Roman"/>
          <w:color w:val="000000"/>
          <w:sz w:val="24"/>
          <w:szCs w:val="24"/>
        </w:rPr>
        <w:t>: critical review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A04">
        <w:rPr>
          <w:rFonts w:ascii="Times New Roman" w:hAnsi="Times New Roman"/>
          <w:color w:val="000000"/>
          <w:sz w:val="24"/>
          <w:szCs w:val="24"/>
        </w:rPr>
        <w:t xml:space="preserve">a consensus statement of the Israeli Neonatology Association. </w:t>
      </w:r>
      <w:r w:rsidRPr="00D62A04">
        <w:rPr>
          <w:rStyle w:val="italic"/>
          <w:rFonts w:ascii="Times New Roman" w:hAnsi="Times New Roman"/>
          <w:color w:val="000000"/>
          <w:sz w:val="24"/>
          <w:szCs w:val="24"/>
        </w:rPr>
        <w:t>Acta Paediatr.</w:t>
      </w:r>
      <w:r w:rsidRPr="00D62A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A04">
        <w:rPr>
          <w:rFonts w:ascii="Times New Roman" w:eastAsia="Times New Roman" w:hAnsi="Times New Roman"/>
          <w:color w:val="000000"/>
          <w:sz w:val="24"/>
          <w:szCs w:val="24"/>
        </w:rPr>
        <w:t>2011;100:1290</w:t>
      </w:r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D62A04">
        <w:rPr>
          <w:rFonts w:ascii="Times New Roman" w:eastAsia="Times New Roman" w:hAnsi="Times New Roman"/>
          <w:color w:val="000000"/>
          <w:sz w:val="24"/>
          <w:szCs w:val="24"/>
        </w:rPr>
        <w:t>1296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C3C92" w:rsidRPr="00D62A04" w:rsidRDefault="00CC3C92" w:rsidP="00FB4D0A">
      <w:pPr>
        <w:pStyle w:val="referencestext"/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D62A04">
        <w:rPr>
          <w:rFonts w:ascii="Times New Roman" w:hAnsi="Times New Roman" w:cs="Times New Roman"/>
          <w:sz w:val="24"/>
          <w:szCs w:val="24"/>
        </w:rPr>
        <w:t xml:space="preserve">Morag I, Strauss T, Lubin D, </w:t>
      </w:r>
      <w:r>
        <w:rPr>
          <w:rFonts w:ascii="Times New Roman" w:hAnsi="Times New Roman" w:cs="Times New Roman"/>
          <w:sz w:val="24"/>
          <w:szCs w:val="24"/>
        </w:rPr>
        <w:t>et al</w:t>
      </w:r>
      <w:r w:rsidRPr="00D62A04">
        <w:rPr>
          <w:rFonts w:ascii="Times New Roman" w:hAnsi="Times New Roman" w:cs="Times New Roman"/>
          <w:sz w:val="24"/>
          <w:szCs w:val="24"/>
        </w:rPr>
        <w:t>.</w:t>
      </w:r>
      <w:r w:rsidR="000F33CA">
        <w:rPr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Fonts w:ascii="Times New Roman" w:hAnsi="Times New Roman" w:cs="Times New Roman"/>
          <w:sz w:val="24"/>
          <w:szCs w:val="24"/>
        </w:rPr>
        <w:t>Restrictive management of neonatal polycythemia.</w:t>
      </w:r>
      <w:proofErr w:type="gramEnd"/>
      <w:r w:rsidRPr="00D62A04">
        <w:rPr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>Am J Perinatol.</w:t>
      </w:r>
      <w:r w:rsidRPr="00D62A04">
        <w:rPr>
          <w:rFonts w:ascii="Times New Roman" w:hAnsi="Times New Roman" w:cs="Times New Roman"/>
          <w:sz w:val="24"/>
          <w:szCs w:val="24"/>
        </w:rPr>
        <w:t xml:space="preserve"> 2011;28:677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62A04">
        <w:rPr>
          <w:rFonts w:ascii="Times New Roman" w:hAnsi="Times New Roman" w:cs="Times New Roman"/>
          <w:sz w:val="24"/>
          <w:szCs w:val="24"/>
        </w:rPr>
        <w:t>682.</w:t>
      </w:r>
    </w:p>
    <w:p w:rsidR="00CC3C92" w:rsidRPr="00D62A04" w:rsidRDefault="00CC3C92" w:rsidP="00FB4D0A">
      <w:pPr>
        <w:pStyle w:val="referencestext"/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62A04">
        <w:rPr>
          <w:rFonts w:ascii="Times New Roman" w:hAnsi="Times New Roman" w:cs="Times New Roman"/>
          <w:sz w:val="24"/>
          <w:szCs w:val="24"/>
        </w:rPr>
        <w:t>Oh W.</w:t>
      </w:r>
      <w:r w:rsidR="000F33CA">
        <w:rPr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Fonts w:ascii="Times New Roman" w:hAnsi="Times New Roman" w:cs="Times New Roman"/>
          <w:sz w:val="24"/>
          <w:szCs w:val="24"/>
        </w:rPr>
        <w:t xml:space="preserve">Timing of umbilical cord clamping at birth in full-term infants.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>JAMA.</w:t>
      </w:r>
      <w:r w:rsidRPr="00D62A04">
        <w:rPr>
          <w:rFonts w:ascii="Times New Roman" w:hAnsi="Times New Roman" w:cs="Times New Roman"/>
          <w:sz w:val="24"/>
          <w:szCs w:val="24"/>
        </w:rPr>
        <w:t xml:space="preserve"> 2007;11:1257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62A04">
        <w:rPr>
          <w:rFonts w:ascii="Times New Roman" w:hAnsi="Times New Roman" w:cs="Times New Roman"/>
          <w:sz w:val="24"/>
          <w:szCs w:val="24"/>
        </w:rPr>
        <w:t>1258.</w:t>
      </w:r>
    </w:p>
    <w:p w:rsidR="00CC3C92" w:rsidRPr="00D62A04" w:rsidRDefault="00CC3C92" w:rsidP="00FB4D0A">
      <w:pPr>
        <w:pStyle w:val="referencestext"/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62A04">
        <w:rPr>
          <w:rFonts w:ascii="Times New Roman" w:hAnsi="Times New Roman" w:cs="Times New Roman"/>
          <w:sz w:val="24"/>
          <w:szCs w:val="24"/>
        </w:rPr>
        <w:t xml:space="preserve">Patil S, Saini SS, Kumar P, Shah R. Comparison of intra-procedural pain between a novel continuous arteriovenous exchange and conventional pull-push techniques of partial exchange transfusion in neonates: a randomized controlled trial. </w:t>
      </w:r>
      <w:r w:rsidRPr="00D62A04">
        <w:rPr>
          <w:rFonts w:ascii="Times New Roman" w:hAnsi="Times New Roman" w:cs="Times New Roman"/>
          <w:i/>
          <w:sz w:val="24"/>
          <w:szCs w:val="24"/>
        </w:rPr>
        <w:t>J Perinatol</w:t>
      </w:r>
      <w:r w:rsidRPr="00D62A04">
        <w:rPr>
          <w:rFonts w:ascii="Times New Roman" w:hAnsi="Times New Roman" w:cs="Times New Roman"/>
          <w:sz w:val="24"/>
          <w:szCs w:val="24"/>
        </w:rPr>
        <w:t>. 2014;34:693-</w:t>
      </w:r>
      <w:r>
        <w:rPr>
          <w:rFonts w:ascii="Times New Roman" w:hAnsi="Times New Roman" w:cs="Times New Roman"/>
          <w:sz w:val="24"/>
          <w:szCs w:val="24"/>
        </w:rPr>
        <w:t>69</w:t>
      </w:r>
      <w:r w:rsidRPr="00D62A0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62A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C92" w:rsidRPr="00D62A04" w:rsidRDefault="00CC3C92" w:rsidP="00FB4D0A">
      <w:pPr>
        <w:pStyle w:val="referencestext"/>
        <w:suppressAutoHyphens/>
        <w:spacing w:line="480" w:lineRule="auto"/>
        <w:ind w:left="0" w:firstLine="0"/>
        <w:jc w:val="left"/>
        <w:rPr>
          <w:rStyle w:val="italic"/>
          <w:rFonts w:ascii="Times New Roman" w:hAnsi="Times New Roman" w:cs="Times New Roman"/>
          <w:sz w:val="24"/>
          <w:szCs w:val="24"/>
        </w:rPr>
      </w:pPr>
      <w:proofErr w:type="gramStart"/>
      <w:r w:rsidRPr="00D62A04">
        <w:rPr>
          <w:rFonts w:ascii="Times New Roman" w:hAnsi="Times New Roman" w:cs="Times New Roman"/>
          <w:sz w:val="24"/>
          <w:szCs w:val="24"/>
        </w:rPr>
        <w:t xml:space="preserve">Sarkar S, </w:t>
      </w:r>
      <w:proofErr w:type="spellStart"/>
      <w:r w:rsidRPr="00D62A04">
        <w:rPr>
          <w:rFonts w:ascii="Times New Roman" w:hAnsi="Times New Roman" w:cs="Times New Roman"/>
          <w:sz w:val="24"/>
          <w:szCs w:val="24"/>
        </w:rPr>
        <w:t>Rosenkrantz</w:t>
      </w:r>
      <w:proofErr w:type="spellEnd"/>
      <w:r w:rsidRPr="00D62A04">
        <w:rPr>
          <w:rFonts w:ascii="Times New Roman" w:hAnsi="Times New Roman" w:cs="Times New Roman"/>
          <w:sz w:val="24"/>
          <w:szCs w:val="24"/>
        </w:rPr>
        <w:t xml:space="preserve"> TS.</w:t>
      </w:r>
      <w:proofErr w:type="gramEnd"/>
      <w:r w:rsidR="000F33CA">
        <w:rPr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Fonts w:ascii="Times New Roman" w:hAnsi="Times New Roman" w:cs="Times New Roman"/>
          <w:sz w:val="24"/>
          <w:szCs w:val="24"/>
        </w:rPr>
        <w:t xml:space="preserve">Neonatal polycythemia and hyperviscosity.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>Semin</w:t>
      </w:r>
      <w:r>
        <w:rPr>
          <w:rStyle w:val="italic"/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>Fetal</w:t>
      </w:r>
      <w:r>
        <w:rPr>
          <w:rStyle w:val="italic"/>
          <w:rFonts w:ascii="Times New Roman" w:hAnsi="Times New Roman" w:cs="Times New Roman"/>
          <w:sz w:val="24"/>
          <w:szCs w:val="24"/>
        </w:rPr>
        <w:t xml:space="preserve">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 xml:space="preserve">Neonatal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lastRenderedPageBreak/>
        <w:t>Med</w:t>
      </w:r>
      <w:r>
        <w:rPr>
          <w:rStyle w:val="italic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0F33CA">
        <w:rPr>
          <w:rStyle w:val="italic"/>
          <w:rFonts w:ascii="Times New Roman" w:hAnsi="Times New Roman" w:cs="Times New Roman"/>
          <w:i w:val="0"/>
          <w:sz w:val="24"/>
          <w:szCs w:val="24"/>
        </w:rPr>
        <w:t>2008;13:248-255.</w:t>
      </w:r>
    </w:p>
    <w:p w:rsidR="003A1EC9" w:rsidRDefault="00CC3C92" w:rsidP="00FB4D0A">
      <w:pPr>
        <w:pStyle w:val="referencestext"/>
        <w:suppressAutoHyphens/>
        <w:spacing w:line="480" w:lineRule="auto"/>
        <w:ind w:left="0" w:firstLine="0"/>
        <w:jc w:val="left"/>
      </w:pPr>
      <w:r w:rsidRPr="00D62A04">
        <w:rPr>
          <w:rFonts w:ascii="Times New Roman" w:hAnsi="Times New Roman" w:cs="Times New Roman"/>
          <w:sz w:val="24"/>
          <w:szCs w:val="24"/>
        </w:rPr>
        <w:t xml:space="preserve">Seng YC, Rajadurai VS. Twin-twin transfusion syndrome: a five year review. </w:t>
      </w:r>
      <w:r w:rsidRPr="00D62A04">
        <w:rPr>
          <w:rStyle w:val="italic"/>
          <w:rFonts w:ascii="Times New Roman" w:hAnsi="Times New Roman" w:cs="Times New Roman"/>
          <w:sz w:val="24"/>
          <w:szCs w:val="24"/>
        </w:rPr>
        <w:t>Arch Dis Child Fetal Neonatal Ed.</w:t>
      </w:r>
      <w:r w:rsidRPr="00D62A04">
        <w:rPr>
          <w:rFonts w:ascii="Times New Roman" w:hAnsi="Times New Roman" w:cs="Times New Roman"/>
          <w:sz w:val="24"/>
          <w:szCs w:val="24"/>
        </w:rPr>
        <w:t xml:space="preserve"> 2000;83:F168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62A04">
        <w:rPr>
          <w:rFonts w:ascii="Times New Roman" w:hAnsi="Times New Roman" w:cs="Times New Roman"/>
          <w:sz w:val="24"/>
          <w:szCs w:val="24"/>
        </w:rPr>
        <w:t>F170.</w:t>
      </w:r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-Condensed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C92"/>
    <w:rsid w:val="000D3D5E"/>
    <w:rsid w:val="000F33CA"/>
    <w:rsid w:val="003A1EC9"/>
    <w:rsid w:val="00CC3C92"/>
    <w:rsid w:val="00FB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C3C92"/>
    <w:pPr>
      <w:widowControl w:val="0"/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CC3C92"/>
    <w:pPr>
      <w:keepNext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spacing w:before="360" w:after="120" w:line="300" w:lineRule="atLeast"/>
      <w:ind w:left="0" w:firstLine="0"/>
    </w:pPr>
    <w:rPr>
      <w:rFonts w:ascii="TradeGothicLTStd-BdCn20" w:hAnsi="TradeGothicLTStd-BdCn20" w:cs="TradeGothicLTStd-BdCn20"/>
      <w:b/>
      <w:bCs/>
      <w:color w:val="0072AE"/>
    </w:rPr>
  </w:style>
  <w:style w:type="paragraph" w:customStyle="1" w:styleId="referencestext">
    <w:name w:val="references_text"/>
    <w:basedOn w:val="Normal"/>
    <w:uiPriority w:val="99"/>
    <w:rsid w:val="00CC3C92"/>
    <w:pP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</w:pPr>
    <w:rPr>
      <w:rFonts w:ascii="MinionPro-Regular" w:hAnsi="MinionPro-Regular" w:cs="MinionPro-Regular"/>
      <w:sz w:val="17"/>
      <w:szCs w:val="17"/>
    </w:rPr>
  </w:style>
  <w:style w:type="character" w:customStyle="1" w:styleId="italic">
    <w:name w:val="italic"/>
    <w:uiPriority w:val="99"/>
    <w:rsid w:val="00CC3C92"/>
    <w:rPr>
      <w:i/>
      <w:iCs/>
    </w:rPr>
  </w:style>
  <w:style w:type="paragraph" w:customStyle="1" w:styleId="p1">
    <w:name w:val="p1"/>
    <w:basedOn w:val="Normal"/>
    <w:rsid w:val="00CC3C92"/>
    <w:pPr>
      <w:widowControl/>
      <w:autoSpaceDE/>
      <w:autoSpaceDN/>
      <w:adjustRightInd/>
      <w:spacing w:line="240" w:lineRule="auto"/>
      <w:ind w:left="0" w:firstLine="0"/>
      <w:jc w:val="left"/>
      <w:textAlignment w:val="auto"/>
    </w:pPr>
    <w:rPr>
      <w:rFonts w:ascii="Times" w:eastAsia="Calibri" w:hAnsi="Times" w:cs="Times New Roman"/>
      <w:color w:val="auto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3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3CA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C3C92"/>
    <w:pPr>
      <w:widowControl w:val="0"/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CC3C92"/>
    <w:pPr>
      <w:keepNext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spacing w:before="360" w:after="120" w:line="300" w:lineRule="atLeast"/>
      <w:ind w:left="0" w:firstLine="0"/>
    </w:pPr>
    <w:rPr>
      <w:rFonts w:ascii="TradeGothicLTStd-BdCn20" w:hAnsi="TradeGothicLTStd-BdCn20" w:cs="TradeGothicLTStd-BdCn20"/>
      <w:b/>
      <w:bCs/>
      <w:color w:val="0072AE"/>
    </w:rPr>
  </w:style>
  <w:style w:type="paragraph" w:customStyle="1" w:styleId="referencestext">
    <w:name w:val="references_text"/>
    <w:basedOn w:val="Normal"/>
    <w:uiPriority w:val="99"/>
    <w:rsid w:val="00CC3C92"/>
    <w:pP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</w:pPr>
    <w:rPr>
      <w:rFonts w:ascii="MinionPro-Regular" w:hAnsi="MinionPro-Regular" w:cs="MinionPro-Regular"/>
      <w:sz w:val="17"/>
      <w:szCs w:val="17"/>
    </w:rPr>
  </w:style>
  <w:style w:type="character" w:customStyle="1" w:styleId="italic">
    <w:name w:val="italic"/>
    <w:uiPriority w:val="99"/>
    <w:rsid w:val="00CC3C92"/>
    <w:rPr>
      <w:i/>
      <w:iCs/>
    </w:rPr>
  </w:style>
  <w:style w:type="paragraph" w:customStyle="1" w:styleId="p1">
    <w:name w:val="p1"/>
    <w:basedOn w:val="Normal"/>
    <w:rsid w:val="00CC3C92"/>
    <w:pPr>
      <w:widowControl/>
      <w:autoSpaceDE/>
      <w:autoSpaceDN/>
      <w:adjustRightInd/>
      <w:spacing w:line="240" w:lineRule="auto"/>
      <w:ind w:left="0" w:firstLine="0"/>
      <w:jc w:val="left"/>
      <w:textAlignment w:val="auto"/>
    </w:pPr>
    <w:rPr>
      <w:rFonts w:ascii="Times" w:eastAsia="Calibri" w:hAnsi="Times" w:cs="Times New Roman"/>
      <w:color w:val="auto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3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3C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2019-07-23T08:07:00Z</dcterms:created>
  <dcterms:modified xsi:type="dcterms:W3CDTF">2019-10-16T08:23:00Z</dcterms:modified>
</cp:coreProperties>
</file>