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046" w:rsidRPr="008C657A" w:rsidRDefault="00C24046" w:rsidP="000C1762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8C657A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108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8C657A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Myasthenia Gravis (Transient Neonatal) </w:t>
      </w:r>
    </w:p>
    <w:p w:rsidR="008C657A" w:rsidRPr="00DE25C6" w:rsidRDefault="000C1762" w:rsidP="000C1762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b/>
          <w:sz w:val="24"/>
        </w:rPr>
      </w:pPr>
      <w:r w:rsidRPr="00DE25C6">
        <w:rPr>
          <w:rFonts w:ascii="Times New Roman" w:hAnsi="Times New Roman"/>
          <w:b/>
          <w:sz w:val="24"/>
        </w:rPr>
        <w:t>Selected References</w:t>
      </w:r>
    </w:p>
    <w:p w:rsidR="000C1762" w:rsidRPr="00DE25C6" w:rsidRDefault="000C1762" w:rsidP="008C657A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sz w:val="24"/>
        </w:rPr>
      </w:pPr>
      <w:proofErr w:type="spellStart"/>
      <w:r w:rsidRPr="00DE25C6">
        <w:rPr>
          <w:rFonts w:ascii="Times New Roman" w:hAnsi="Times New Roman"/>
          <w:sz w:val="24"/>
        </w:rPr>
        <w:t>Gilhus</w:t>
      </w:r>
      <w:proofErr w:type="spellEnd"/>
      <w:r w:rsidRPr="00DE25C6">
        <w:rPr>
          <w:rFonts w:ascii="Times New Roman" w:hAnsi="Times New Roman"/>
          <w:sz w:val="24"/>
        </w:rPr>
        <w:t xml:space="preserve"> N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DE25C6">
        <w:rPr>
          <w:rFonts w:ascii="Times New Roman" w:hAnsi="Times New Roman"/>
          <w:sz w:val="24"/>
        </w:rPr>
        <w:t xml:space="preserve"> Myasthenia gravis. </w:t>
      </w:r>
      <w:r w:rsidRPr="00CF7F35">
        <w:rPr>
          <w:rFonts w:ascii="Times New Roman" w:eastAsia="Times New Roman" w:hAnsi="Times New Roman"/>
          <w:i/>
          <w:sz w:val="24"/>
          <w:szCs w:val="24"/>
        </w:rPr>
        <w:t>N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CF7F35">
        <w:rPr>
          <w:rFonts w:ascii="Times New Roman" w:eastAsia="Times New Roman" w:hAnsi="Times New Roman"/>
          <w:i/>
          <w:sz w:val="24"/>
          <w:szCs w:val="24"/>
        </w:rPr>
        <w:t>E</w:t>
      </w:r>
      <w:r>
        <w:rPr>
          <w:rFonts w:ascii="Times New Roman" w:eastAsia="Times New Roman" w:hAnsi="Times New Roman"/>
          <w:i/>
          <w:sz w:val="24"/>
          <w:szCs w:val="24"/>
        </w:rPr>
        <w:t xml:space="preserve">ngl </w:t>
      </w:r>
      <w:r w:rsidRPr="00CF7F35">
        <w:rPr>
          <w:rFonts w:ascii="Times New Roman" w:eastAsia="Times New Roman" w:hAnsi="Times New Roman"/>
          <w:i/>
          <w:sz w:val="24"/>
          <w:szCs w:val="24"/>
        </w:rPr>
        <w:t>J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CF7F35">
        <w:rPr>
          <w:rFonts w:ascii="Times New Roman" w:eastAsia="Times New Roman" w:hAnsi="Times New Roman"/>
          <w:i/>
          <w:sz w:val="24"/>
          <w:szCs w:val="24"/>
        </w:rPr>
        <w:t>M</w:t>
      </w:r>
      <w:r>
        <w:rPr>
          <w:rFonts w:ascii="Times New Roman" w:eastAsia="Times New Roman" w:hAnsi="Times New Roman"/>
          <w:i/>
          <w:sz w:val="24"/>
          <w:szCs w:val="24"/>
        </w:rPr>
        <w:t>ed</w:t>
      </w:r>
      <w:r w:rsidRPr="00DE25C6">
        <w:rPr>
          <w:rFonts w:ascii="Times New Roman" w:hAnsi="Times New Roman"/>
          <w:i/>
          <w:sz w:val="24"/>
        </w:rPr>
        <w:t>.</w:t>
      </w:r>
      <w:r w:rsidRPr="00DE25C6">
        <w:rPr>
          <w:rFonts w:ascii="Times New Roman" w:hAnsi="Times New Roman"/>
          <w:sz w:val="24"/>
        </w:rPr>
        <w:t xml:space="preserve"> 2016;375:2570-2581.</w:t>
      </w:r>
      <w:bookmarkStart w:id="0" w:name="_GoBack"/>
      <w:bookmarkEnd w:id="0"/>
    </w:p>
    <w:p w:rsidR="008C657A" w:rsidRDefault="000C1762" w:rsidP="008C657A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sz w:val="24"/>
        </w:rPr>
      </w:pPr>
      <w:proofErr w:type="spellStart"/>
      <w:r w:rsidRPr="00DE25C6">
        <w:rPr>
          <w:rFonts w:ascii="Times New Roman" w:hAnsi="Times New Roman"/>
          <w:sz w:val="24"/>
        </w:rPr>
        <w:t>Hacohen</w:t>
      </w:r>
      <w:proofErr w:type="spellEnd"/>
      <w:r w:rsidRPr="00DE25C6">
        <w:rPr>
          <w:rFonts w:ascii="Times New Roman" w:hAnsi="Times New Roman"/>
          <w:sz w:val="24"/>
        </w:rPr>
        <w:t xml:space="preserve"> Y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CF7F35">
        <w:rPr>
          <w:rFonts w:ascii="Times New Roman" w:eastAsia="Times New Roman" w:hAnsi="Times New Roman"/>
          <w:sz w:val="24"/>
          <w:szCs w:val="24"/>
        </w:rPr>
        <w:t xml:space="preserve"> </w:t>
      </w:r>
      <w:r w:rsidRPr="00752C9C">
        <w:rPr>
          <w:rFonts w:ascii="Times New Roman" w:eastAsia="Times New Roman" w:hAnsi="Times New Roman"/>
          <w:sz w:val="24"/>
          <w:szCs w:val="24"/>
        </w:rPr>
        <w:t>Jacobson LW, Byrne S,</w:t>
      </w:r>
      <w:r w:rsidRPr="00DE25C6">
        <w:rPr>
          <w:rFonts w:ascii="Times New Roman" w:hAnsi="Times New Roman"/>
          <w:sz w:val="24"/>
        </w:rPr>
        <w:t xml:space="preserve"> et al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DE25C6">
        <w:rPr>
          <w:rFonts w:ascii="Times New Roman" w:hAnsi="Times New Roman"/>
          <w:sz w:val="24"/>
        </w:rPr>
        <w:t xml:space="preserve"> Fetal acetylcholine receptor inactivation syndrome: a myopathy due to maternal antibodies. </w:t>
      </w:r>
      <w:r w:rsidRPr="00DE25C6">
        <w:rPr>
          <w:rFonts w:ascii="Times New Roman" w:hAnsi="Times New Roman"/>
          <w:i/>
          <w:sz w:val="24"/>
        </w:rPr>
        <w:t>Neurol Neuroimmunol Neuroinflamm.</w:t>
      </w:r>
      <w:r w:rsidRPr="00DE25C6">
        <w:rPr>
          <w:rFonts w:ascii="Times New Roman" w:hAnsi="Times New Roman"/>
          <w:sz w:val="24"/>
        </w:rPr>
        <w:t xml:space="preserve"> 2015</w:t>
      </w:r>
      <w:proofErr w:type="gramStart"/>
      <w:r w:rsidRPr="00DE25C6">
        <w:rPr>
          <w:rFonts w:ascii="Times New Roman" w:hAnsi="Times New Roman"/>
          <w:sz w:val="24"/>
        </w:rPr>
        <w:t>;2:e57</w:t>
      </w:r>
      <w:proofErr w:type="gramEnd"/>
      <w:r w:rsidRPr="00DE25C6">
        <w:rPr>
          <w:rFonts w:ascii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>e</w:t>
      </w:r>
      <w:r w:rsidRPr="00CF7F35">
        <w:rPr>
          <w:rFonts w:ascii="Times New Roman" w:eastAsia="Times New Roman" w:hAnsi="Times New Roman"/>
          <w:sz w:val="24"/>
          <w:szCs w:val="24"/>
        </w:rPr>
        <w:t>63</w:t>
      </w:r>
      <w:r w:rsidRPr="00DE25C6">
        <w:rPr>
          <w:rFonts w:ascii="Times New Roman" w:hAnsi="Times New Roman"/>
          <w:sz w:val="24"/>
        </w:rPr>
        <w:t>.</w:t>
      </w:r>
    </w:p>
    <w:p w:rsidR="000C1762" w:rsidRPr="00DE25C6" w:rsidRDefault="000C1762" w:rsidP="008C657A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sz w:val="24"/>
        </w:rPr>
      </w:pPr>
      <w:r w:rsidRPr="00DE25C6">
        <w:rPr>
          <w:rFonts w:ascii="Times New Roman" w:hAnsi="Times New Roman"/>
          <w:sz w:val="24"/>
        </w:rPr>
        <w:t>Hassoun M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CF7F35">
        <w:rPr>
          <w:rFonts w:ascii="Times New Roman" w:eastAsia="Times New Roman" w:hAnsi="Times New Roman"/>
          <w:sz w:val="24"/>
          <w:szCs w:val="24"/>
        </w:rPr>
        <w:t xml:space="preserve"> </w:t>
      </w:r>
      <w:r w:rsidRPr="00752C9C">
        <w:rPr>
          <w:rFonts w:ascii="Times New Roman" w:eastAsia="Times New Roman" w:hAnsi="Times New Roman"/>
          <w:sz w:val="24"/>
          <w:szCs w:val="24"/>
        </w:rPr>
        <w:t xml:space="preserve">El </w:t>
      </w:r>
      <w:proofErr w:type="spellStart"/>
      <w:r w:rsidRPr="00752C9C">
        <w:rPr>
          <w:rFonts w:ascii="Times New Roman" w:eastAsia="Times New Roman" w:hAnsi="Times New Roman"/>
          <w:sz w:val="24"/>
          <w:szCs w:val="24"/>
        </w:rPr>
        <w:t>Turjuman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</w:t>
      </w:r>
      <w:r w:rsidRPr="00752C9C">
        <w:rPr>
          <w:rFonts w:ascii="Times New Roman" w:eastAsia="Times New Roman" w:hAnsi="Times New Roman"/>
          <w:sz w:val="24"/>
          <w:szCs w:val="24"/>
        </w:rPr>
        <w:t>, Chokr</w:t>
      </w:r>
      <w:r>
        <w:rPr>
          <w:rFonts w:ascii="Times New Roman" w:eastAsia="Times New Roman" w:hAnsi="Times New Roman"/>
          <w:sz w:val="24"/>
          <w:szCs w:val="24"/>
        </w:rPr>
        <w:t xml:space="preserve"> I</w:t>
      </w:r>
      <w:r w:rsidRPr="00752C9C">
        <w:rPr>
          <w:rFonts w:ascii="Times New Roman" w:eastAsia="Times New Roman" w:hAnsi="Times New Roman"/>
          <w:sz w:val="24"/>
          <w:szCs w:val="24"/>
        </w:rPr>
        <w:t>,</w:t>
      </w:r>
      <w:r w:rsidRPr="00DE25C6">
        <w:rPr>
          <w:rFonts w:ascii="Times New Roman" w:hAnsi="Times New Roman"/>
          <w:sz w:val="24"/>
        </w:rPr>
        <w:t xml:space="preserve"> et al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DE25C6">
        <w:rPr>
          <w:rFonts w:ascii="Times New Roman" w:hAnsi="Times New Roman"/>
          <w:sz w:val="24"/>
        </w:rPr>
        <w:t xml:space="preserve"> Myasthenia gravis in the neonate. </w:t>
      </w:r>
      <w:r w:rsidRPr="00DE25C6">
        <w:rPr>
          <w:rFonts w:ascii="Times New Roman" w:hAnsi="Times New Roman"/>
          <w:i/>
          <w:sz w:val="24"/>
        </w:rPr>
        <w:t>Neoreviews.</w:t>
      </w:r>
      <w:r w:rsidRPr="00DE25C6">
        <w:rPr>
          <w:rFonts w:ascii="Times New Roman" w:hAnsi="Times New Roman"/>
          <w:sz w:val="24"/>
        </w:rPr>
        <w:t xml:space="preserve"> 2010;11:e200-205.</w:t>
      </w:r>
    </w:p>
    <w:p w:rsidR="008C657A" w:rsidRDefault="000C1762" w:rsidP="008C657A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sz w:val="24"/>
        </w:rPr>
      </w:pPr>
      <w:proofErr w:type="spellStart"/>
      <w:r w:rsidRPr="00DE25C6">
        <w:rPr>
          <w:rFonts w:ascii="Times New Roman" w:hAnsi="Times New Roman"/>
          <w:sz w:val="24"/>
        </w:rPr>
        <w:t>Jovandaric</w:t>
      </w:r>
      <w:proofErr w:type="spellEnd"/>
      <w:r w:rsidRPr="00DE25C6">
        <w:rPr>
          <w:rFonts w:ascii="Times New Roman" w:hAnsi="Times New Roman"/>
          <w:sz w:val="24"/>
        </w:rPr>
        <w:t xml:space="preserve"> MZ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CF7F3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52C9C">
        <w:rPr>
          <w:rFonts w:ascii="Times New Roman" w:eastAsia="Times New Roman" w:hAnsi="Times New Roman"/>
          <w:sz w:val="24"/>
          <w:szCs w:val="24"/>
        </w:rPr>
        <w:t>Despotovic</w:t>
      </w:r>
      <w:proofErr w:type="spellEnd"/>
      <w:r w:rsidRPr="00752C9C">
        <w:rPr>
          <w:rFonts w:ascii="Times New Roman" w:eastAsia="Times New Roman" w:hAnsi="Times New Roman"/>
          <w:sz w:val="24"/>
          <w:szCs w:val="24"/>
        </w:rPr>
        <w:t xml:space="preserve"> DJ, Jesic MM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DE25C6">
        <w:rPr>
          <w:rFonts w:ascii="Times New Roman" w:hAnsi="Times New Roman"/>
          <w:sz w:val="24"/>
        </w:rPr>
        <w:t xml:space="preserve"> et al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DE25C6">
        <w:rPr>
          <w:rFonts w:ascii="Times New Roman" w:hAnsi="Times New Roman"/>
          <w:sz w:val="24"/>
        </w:rPr>
        <w:t xml:space="preserve"> Neonatal outcome in pregnancies with autoimmune myasthenia gravis. </w:t>
      </w:r>
      <w:r w:rsidRPr="00DE25C6">
        <w:rPr>
          <w:rFonts w:ascii="Times New Roman" w:hAnsi="Times New Roman"/>
          <w:i/>
          <w:sz w:val="24"/>
        </w:rPr>
        <w:t>Fetal Pediatr Pathol.</w:t>
      </w:r>
      <w:r w:rsidRPr="00DE25C6">
        <w:rPr>
          <w:rFonts w:ascii="Times New Roman" w:hAnsi="Times New Roman"/>
          <w:sz w:val="24"/>
        </w:rPr>
        <w:t xml:space="preserve"> 2016</w:t>
      </w:r>
      <w:proofErr w:type="gramStart"/>
      <w:r w:rsidRPr="00DE25C6">
        <w:rPr>
          <w:rFonts w:ascii="Times New Roman" w:hAnsi="Times New Roman"/>
          <w:sz w:val="24"/>
        </w:rPr>
        <w:t>;35:167</w:t>
      </w:r>
      <w:proofErr w:type="gramEnd"/>
      <w:r w:rsidRPr="00DE25C6">
        <w:rPr>
          <w:rFonts w:ascii="Times New Roman" w:hAnsi="Times New Roman"/>
          <w:sz w:val="24"/>
        </w:rPr>
        <w:t>-172.</w:t>
      </w:r>
    </w:p>
    <w:p w:rsidR="000C1762" w:rsidRPr="00DE25C6" w:rsidRDefault="000C1762" w:rsidP="008C657A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sz w:val="24"/>
        </w:rPr>
      </w:pPr>
      <w:proofErr w:type="spellStart"/>
      <w:r w:rsidRPr="00DE25C6">
        <w:rPr>
          <w:rFonts w:ascii="Times New Roman" w:hAnsi="Times New Roman"/>
          <w:sz w:val="24"/>
        </w:rPr>
        <w:t>Vrinten</w:t>
      </w:r>
      <w:proofErr w:type="spellEnd"/>
      <w:r w:rsidRPr="00DE25C6">
        <w:rPr>
          <w:rFonts w:ascii="Times New Roman" w:hAnsi="Times New Roman"/>
          <w:sz w:val="24"/>
        </w:rPr>
        <w:t xml:space="preserve"> C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CF7F35">
        <w:rPr>
          <w:rFonts w:ascii="Times New Roman" w:eastAsia="Times New Roman" w:hAnsi="Times New Roman"/>
          <w:sz w:val="24"/>
          <w:szCs w:val="24"/>
        </w:rPr>
        <w:t xml:space="preserve"> </w:t>
      </w:r>
      <w:r w:rsidRPr="00854DED">
        <w:rPr>
          <w:rFonts w:ascii="Times New Roman" w:eastAsia="Times New Roman" w:hAnsi="Times New Roman"/>
          <w:sz w:val="24"/>
          <w:szCs w:val="24"/>
        </w:rPr>
        <w:t xml:space="preserve">van der Zwaag </w:t>
      </w:r>
      <w:proofErr w:type="gramStart"/>
      <w:r w:rsidRPr="00854DED">
        <w:rPr>
          <w:rFonts w:ascii="Times New Roman" w:eastAsia="Times New Roman" w:hAnsi="Times New Roman"/>
          <w:sz w:val="24"/>
          <w:szCs w:val="24"/>
        </w:rPr>
        <w:t>AM</w:t>
      </w:r>
      <w:proofErr w:type="gramEnd"/>
      <w:r w:rsidRPr="00854DED">
        <w:rPr>
          <w:rFonts w:ascii="Times New Roman" w:eastAsia="Times New Roman" w:hAnsi="Times New Roman"/>
          <w:sz w:val="24"/>
          <w:szCs w:val="24"/>
        </w:rPr>
        <w:t>, Weinreich SS,</w:t>
      </w:r>
      <w:r w:rsidRPr="00DE25C6">
        <w:rPr>
          <w:rFonts w:ascii="Times New Roman" w:hAnsi="Times New Roman"/>
          <w:sz w:val="24"/>
        </w:rPr>
        <w:t xml:space="preserve"> et al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DE25C6">
        <w:rPr>
          <w:rFonts w:ascii="Times New Roman" w:hAnsi="Times New Roman"/>
          <w:sz w:val="24"/>
        </w:rPr>
        <w:t xml:space="preserve"> Ephedrine for myasthenia gravis, neonatal myasthenia and the congenital myasthenic syndromes. </w:t>
      </w:r>
      <w:r w:rsidR="00A10C9E">
        <w:rPr>
          <w:rFonts w:ascii="Times New Roman" w:hAnsi="Times New Roman"/>
          <w:i/>
          <w:sz w:val="24"/>
        </w:rPr>
        <w:t xml:space="preserve">Cochrane Database </w:t>
      </w:r>
      <w:proofErr w:type="spellStart"/>
      <w:r w:rsidR="00A10C9E">
        <w:rPr>
          <w:rFonts w:ascii="Times New Roman" w:hAnsi="Times New Roman"/>
          <w:i/>
          <w:sz w:val="24"/>
        </w:rPr>
        <w:t>Syst</w:t>
      </w:r>
      <w:proofErr w:type="spellEnd"/>
      <w:r w:rsidR="00A10C9E">
        <w:rPr>
          <w:rFonts w:ascii="Times New Roman" w:hAnsi="Times New Roman"/>
          <w:i/>
          <w:sz w:val="24"/>
        </w:rPr>
        <w:t xml:space="preserve"> Rev</w:t>
      </w:r>
      <w:r w:rsidRPr="00DE25C6">
        <w:rPr>
          <w:rFonts w:ascii="Times New Roman" w:hAnsi="Times New Roman"/>
          <w:sz w:val="24"/>
        </w:rPr>
        <w:t>. 2014</w:t>
      </w:r>
      <w:proofErr w:type="gramStart"/>
      <w:r w:rsidRPr="00CF7F35">
        <w:rPr>
          <w:rFonts w:ascii="Times New Roman" w:hAnsi="Times New Roman"/>
          <w:sz w:val="24"/>
          <w:szCs w:val="24"/>
        </w:rPr>
        <w:t>;</w:t>
      </w:r>
      <w:r w:rsidRPr="000A6E2B">
        <w:rPr>
          <w:rFonts w:ascii="Times New Roman" w:eastAsia="Times New Roman" w:hAnsi="Times New Roman"/>
          <w:sz w:val="24"/>
          <w:szCs w:val="24"/>
        </w:rPr>
        <w:t>12</w:t>
      </w:r>
      <w:r w:rsidRPr="00CF7F35">
        <w:rPr>
          <w:rFonts w:ascii="Times New Roman" w:eastAsia="Times New Roman" w:hAnsi="Times New Roman"/>
          <w:sz w:val="24"/>
          <w:szCs w:val="24"/>
        </w:rPr>
        <w:t>:</w:t>
      </w:r>
      <w:r w:rsidRPr="00854DED">
        <w:rPr>
          <w:rFonts w:ascii="Times New Roman" w:eastAsia="Times New Roman" w:hAnsi="Times New Roman"/>
          <w:sz w:val="24"/>
          <w:szCs w:val="24"/>
        </w:rPr>
        <w:t>CD010028</w:t>
      </w:r>
      <w:proofErr w:type="gramEnd"/>
      <w:r w:rsidRPr="00DE25C6">
        <w:rPr>
          <w:rFonts w:ascii="Times New Roman" w:hAnsi="Times New Roman"/>
          <w:sz w:val="24"/>
        </w:rPr>
        <w:t>.</w:t>
      </w:r>
    </w:p>
    <w:p w:rsidR="003A1EC9" w:rsidRDefault="003A1EC9"/>
    <w:sectPr w:rsidR="003A1E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CB7" w:rsidRDefault="00375CB7">
      <w:pPr>
        <w:spacing w:after="0" w:line="240" w:lineRule="auto"/>
      </w:pPr>
      <w:r>
        <w:separator/>
      </w:r>
    </w:p>
  </w:endnote>
  <w:endnote w:type="continuationSeparator" w:id="0">
    <w:p w:rsidR="00375CB7" w:rsidRDefault="0037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CB7" w:rsidRDefault="00375CB7">
      <w:pPr>
        <w:spacing w:after="0" w:line="240" w:lineRule="auto"/>
      </w:pPr>
      <w:r>
        <w:separator/>
      </w:r>
    </w:p>
  </w:footnote>
  <w:footnote w:type="continuationSeparator" w:id="0">
    <w:p w:rsidR="00375CB7" w:rsidRDefault="00375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15E" w:rsidRDefault="00375C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62"/>
    <w:rsid w:val="000A5BC5"/>
    <w:rsid w:val="000C1762"/>
    <w:rsid w:val="00375CB7"/>
    <w:rsid w:val="003A1EC9"/>
    <w:rsid w:val="008C657A"/>
    <w:rsid w:val="009A1B34"/>
    <w:rsid w:val="00A10C9E"/>
    <w:rsid w:val="00C2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6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7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176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C17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76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046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0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C9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C9E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10C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6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7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176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C17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76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046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0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C9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C9E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10C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2019-07-23T06:58:00Z</dcterms:created>
  <dcterms:modified xsi:type="dcterms:W3CDTF">2019-10-16T08:16:00Z</dcterms:modified>
</cp:coreProperties>
</file>