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E9" w:rsidRPr="004530CE" w:rsidRDefault="00452EE9" w:rsidP="00757AF5">
      <w:pPr>
        <w:pStyle w:val="referencesheading"/>
        <w:keepNext w:val="0"/>
        <w:spacing w:before="0" w:after="0" w:line="480" w:lineRule="auto"/>
        <w:ind w:left="0" w:firstLine="0"/>
        <w:jc w:val="left"/>
        <w:rPr>
          <w:rFonts w:ascii="Times New Roman" w:hAnsi="Times New Roman" w:cs="Times New Roman"/>
          <w:color w:val="000000"/>
          <w:sz w:val="36"/>
        </w:rPr>
      </w:pPr>
      <w:r w:rsidRPr="004530CE">
        <w:rPr>
          <w:rFonts w:ascii="Times New Roman" w:hAnsi="Times New Roman" w:cs="Times New Roman"/>
          <w:color w:val="000000"/>
          <w:sz w:val="36"/>
        </w:rPr>
        <w:t>11    Nutritional Management</w:t>
      </w:r>
    </w:p>
    <w:p w:rsidR="00757AF5" w:rsidRPr="00CE119D" w:rsidRDefault="00757AF5" w:rsidP="00757AF5">
      <w:pPr>
        <w:pStyle w:val="referencesheading"/>
        <w:keepNext w:val="0"/>
        <w:spacing w:before="0" w:after="0" w:line="480" w:lineRule="auto"/>
        <w:ind w:left="0" w:firstLine="0"/>
        <w:jc w:val="left"/>
        <w:rPr>
          <w:rFonts w:ascii="Times New Roman" w:hAnsi="Times New Roman" w:cs="TimesNewRomanPS-BoldMT"/>
          <w:color w:val="auto"/>
        </w:rPr>
      </w:pPr>
      <w:r w:rsidRPr="00CE119D">
        <w:rPr>
          <w:rFonts w:ascii="Times New Roman" w:hAnsi="Times New Roman" w:cs="TimesNewRomanPS-BoldMT"/>
          <w:color w:val="auto"/>
        </w:rPr>
        <w:t>Selected References</w:t>
      </w:r>
    </w:p>
    <w:p w:rsidR="00757AF5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sz w:val="24"/>
          <w:szCs w:val="24"/>
          <w:shd w:val="clear" w:color="auto" w:fill="FFFFFF"/>
        </w:rPr>
      </w:pPr>
      <w:r w:rsidRPr="004530CE">
        <w:rPr>
          <w:rFonts w:ascii="Times New Roman" w:hAnsi="Times New Roman"/>
          <w:sz w:val="24"/>
          <w:szCs w:val="24"/>
        </w:rPr>
        <w:t xml:space="preserve">Butler TJ, </w:t>
      </w:r>
      <w:proofErr w:type="spellStart"/>
      <w:r w:rsidRPr="004530CE">
        <w:rPr>
          <w:rFonts w:ascii="Times New Roman" w:hAnsi="Times New Roman"/>
          <w:sz w:val="24"/>
          <w:szCs w:val="24"/>
        </w:rPr>
        <w:t>Szekely</w:t>
      </w:r>
      <w:proofErr w:type="spellEnd"/>
      <w:r w:rsidRPr="004530CE">
        <w:rPr>
          <w:rFonts w:ascii="Times New Roman" w:hAnsi="Times New Roman"/>
          <w:sz w:val="24"/>
          <w:szCs w:val="24"/>
        </w:rPr>
        <w:t xml:space="preserve"> LJ, Grow JL. A standardized nutrition approach for very low birth weight neonates improves outcomes, reduces cost and is not associated with increased rates of necrotizing enterocolitis, sepsis or mortality. </w:t>
      </w:r>
      <w:proofErr w:type="gramStart"/>
      <w:r w:rsidRPr="004530C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J Perinatol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 2013</w:t>
      </w:r>
      <w:proofErr w:type="gramStart"/>
      <w:r w:rsidRPr="004530CE">
        <w:rPr>
          <w:rFonts w:ascii="Times New Roman" w:hAnsi="Times New Roman"/>
          <w:sz w:val="24"/>
          <w:szCs w:val="24"/>
          <w:shd w:val="clear" w:color="auto" w:fill="FFFFFF"/>
        </w:rPr>
        <w:t>;33:851</w:t>
      </w:r>
      <w:proofErr w:type="gramEnd"/>
      <w:r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-857. </w:t>
      </w:r>
    </w:p>
    <w:p w:rsidR="00757AF5" w:rsidRPr="004530CE" w:rsidRDefault="00757AF5" w:rsidP="004530CE">
      <w:pPr>
        <w:spacing w:line="48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4530CE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Committee on Nutrition, Section on Breastfeeding, Committee on </w:t>
      </w:r>
      <w:proofErr w:type="gramEnd"/>
      <w:r w:rsidR="00452EE9" w:rsidRPr="004530CE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F</w:t>
      </w:r>
      <w:r w:rsidRPr="004530CE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etus and Newborn. </w:t>
      </w:r>
      <w:hyperlink r:id="rId5" w:history="1">
        <w:r w:rsidRPr="004530CE">
          <w:rPr>
            <w:rFonts w:ascii="Times New Roman" w:eastAsia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Donor human milk for the high-risk infant: preparation, safety, and usage options in the United States</w:t>
        </w:r>
      </w:hyperlink>
      <w:r w:rsidRPr="0004086F">
        <w:rPr>
          <w:rFonts w:ascii="Times New Roman" w:eastAsia="Times New Roman" w:hAnsi="Times New Roman"/>
          <w:sz w:val="24"/>
          <w:szCs w:val="24"/>
        </w:rPr>
        <w:t>.</w:t>
      </w:r>
      <w:r w:rsidRPr="004530CE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4530CE">
        <w:rPr>
          <w:rFonts w:ascii="Times New Roman" w:eastAsia="Times New Roman" w:hAnsi="Times New Roman"/>
          <w:i/>
          <w:sz w:val="24"/>
          <w:szCs w:val="24"/>
          <w:bdr w:val="none" w:sz="0" w:space="0" w:color="auto" w:frame="1"/>
        </w:rPr>
        <w:t>Pediatrics</w:t>
      </w:r>
      <w:r w:rsidRPr="004530CE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 2017;139:e20163440.</w:t>
      </w:r>
    </w:p>
    <w:p w:rsidR="00757AF5" w:rsidRPr="004530CE" w:rsidRDefault="00757AF5" w:rsidP="004530CE">
      <w:pPr>
        <w:pStyle w:val="referencestext"/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530CE">
        <w:rPr>
          <w:rFonts w:ascii="Times New Roman" w:hAnsi="Times New Roman" w:cs="Times New Roman"/>
          <w:color w:val="auto"/>
          <w:sz w:val="24"/>
          <w:szCs w:val="24"/>
        </w:rPr>
        <w:t>Demerath EW, Johnson W, Davern BA, et al</w:t>
      </w:r>
      <w:r w:rsidRPr="004530CE">
        <w:rPr>
          <w:rFonts w:ascii="Times New Roman" w:hAnsi="Times New Roman" w:cs="Times New Roman"/>
          <w:sz w:val="24"/>
          <w:szCs w:val="24"/>
        </w:rPr>
        <w:t>. N</w:t>
      </w:r>
      <w:bookmarkStart w:id="0" w:name="_GoBack"/>
      <w:bookmarkEnd w:id="0"/>
      <w:r w:rsidRPr="004530CE">
        <w:rPr>
          <w:rFonts w:ascii="Times New Roman" w:hAnsi="Times New Roman" w:cs="Times New Roman"/>
          <w:sz w:val="24"/>
          <w:szCs w:val="24"/>
        </w:rPr>
        <w:t xml:space="preserve">ew body composition reference for preterm infants. </w:t>
      </w:r>
      <w:r w:rsidRPr="004530CE">
        <w:rPr>
          <w:rStyle w:val="jrnl"/>
          <w:rFonts w:ascii="Times New Roman" w:hAnsi="Times New Roman" w:cs="Times New Roman"/>
          <w:i/>
          <w:sz w:val="24"/>
          <w:szCs w:val="24"/>
        </w:rPr>
        <w:t>Am J Clin Nutr</w:t>
      </w:r>
      <w:r w:rsidRPr="004530CE">
        <w:rPr>
          <w:rFonts w:ascii="Times New Roman" w:hAnsi="Times New Roman" w:cs="Times New Roman"/>
          <w:sz w:val="24"/>
          <w:szCs w:val="24"/>
        </w:rPr>
        <w:t xml:space="preserve">. 2017;105:70-77. </w:t>
      </w:r>
    </w:p>
    <w:p w:rsidR="0004086F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4530CE">
        <w:rPr>
          <w:rFonts w:ascii="Times New Roman" w:hAnsi="Times New Roman"/>
          <w:sz w:val="24"/>
          <w:szCs w:val="24"/>
        </w:rPr>
        <w:t xml:space="preserve">El Hassan NO, Kaiser JR. Parenteral nutrition in the neonatal intensive care unit. </w:t>
      </w:r>
      <w:r w:rsidRPr="004530CE">
        <w:rPr>
          <w:rFonts w:ascii="Times New Roman" w:hAnsi="Times New Roman"/>
          <w:i/>
          <w:sz w:val="24"/>
          <w:szCs w:val="24"/>
        </w:rPr>
        <w:t>NeoReviews.</w:t>
      </w:r>
      <w:r w:rsidRPr="004530CE">
        <w:rPr>
          <w:rFonts w:ascii="Times New Roman" w:hAnsi="Times New Roman"/>
          <w:sz w:val="24"/>
          <w:szCs w:val="24"/>
        </w:rPr>
        <w:t xml:space="preserve"> 2011;12:e130-e140.</w:t>
      </w:r>
    </w:p>
    <w:p w:rsidR="00757AF5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4530CE">
        <w:rPr>
          <w:rFonts w:ascii="Times New Roman" w:hAnsi="Times New Roman"/>
          <w:color w:val="000000"/>
          <w:sz w:val="24"/>
          <w:szCs w:val="24"/>
        </w:rPr>
        <w:t>Goswami</w:t>
      </w:r>
      <w:proofErr w:type="spellEnd"/>
      <w:r w:rsidRPr="004530CE">
        <w:rPr>
          <w:rFonts w:ascii="Times New Roman" w:hAnsi="Times New Roman"/>
          <w:color w:val="000000"/>
          <w:sz w:val="24"/>
          <w:szCs w:val="24"/>
        </w:rPr>
        <w:t xml:space="preserve"> I, </w:t>
      </w:r>
      <w:proofErr w:type="spellStart"/>
      <w:r w:rsidRPr="004530CE">
        <w:rPr>
          <w:rFonts w:ascii="Times New Roman" w:hAnsi="Times New Roman"/>
          <w:color w:val="000000"/>
          <w:sz w:val="24"/>
          <w:szCs w:val="24"/>
        </w:rPr>
        <w:t>Alshaikh</w:t>
      </w:r>
      <w:proofErr w:type="spellEnd"/>
      <w:r w:rsidRPr="004530CE">
        <w:rPr>
          <w:rFonts w:ascii="Times New Roman" w:hAnsi="Times New Roman"/>
          <w:color w:val="000000"/>
          <w:sz w:val="24"/>
          <w:szCs w:val="24"/>
        </w:rPr>
        <w:t xml:space="preserve"> B. Gavage feeding practices in VLBW infants: physiological aspects and </w:t>
      </w:r>
      <w:r w:rsidRPr="004530CE">
        <w:rPr>
          <w:rFonts w:ascii="Times New Roman" w:hAnsi="Times New Roman"/>
          <w:sz w:val="24"/>
          <w:szCs w:val="24"/>
        </w:rPr>
        <w:t xml:space="preserve">clinical implications. </w:t>
      </w:r>
      <w:r w:rsidRPr="004530CE">
        <w:rPr>
          <w:rFonts w:ascii="Times New Roman" w:hAnsi="Times New Roman"/>
          <w:i/>
          <w:sz w:val="24"/>
          <w:szCs w:val="24"/>
        </w:rPr>
        <w:t>NeoReviews</w:t>
      </w:r>
      <w:r w:rsidRPr="004530CE">
        <w:rPr>
          <w:rFonts w:ascii="Times New Roman" w:hAnsi="Times New Roman"/>
          <w:sz w:val="24"/>
          <w:szCs w:val="24"/>
        </w:rPr>
        <w:t>. 2017;18:e105-e117.</w:t>
      </w:r>
    </w:p>
    <w:p w:rsidR="00757AF5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sz w:val="24"/>
          <w:szCs w:val="24"/>
        </w:rPr>
      </w:pPr>
      <w:r w:rsidRPr="0004086F">
        <w:rPr>
          <w:rFonts w:ascii="Times New Roman" w:hAnsi="Times New Roman"/>
          <w:sz w:val="24"/>
          <w:szCs w:val="24"/>
          <w:shd w:val="clear" w:color="auto" w:fill="FFFFFF"/>
        </w:rPr>
        <w:t>Kantorowska A, Wei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 JC, Cohen RS, et al. Impact of donor milk availability on breast milk use and necrotizing enterocolitis rates. </w:t>
      </w:r>
      <w:r w:rsidRPr="004530CE">
        <w:rPr>
          <w:rFonts w:ascii="Times New Roman" w:hAnsi="Times New Roman"/>
          <w:i/>
          <w:sz w:val="24"/>
          <w:szCs w:val="24"/>
          <w:shd w:val="clear" w:color="auto" w:fill="FFFFFF"/>
        </w:rPr>
        <w:t>Pediatrics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>. 2016;137:e20153123.</w:t>
      </w:r>
    </w:p>
    <w:p w:rsidR="00757AF5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sz w:val="24"/>
          <w:szCs w:val="24"/>
        </w:rPr>
      </w:pPr>
      <w:r w:rsidRPr="004530CE">
        <w:rPr>
          <w:rStyle w:val="highwire-cite-metadata-pages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Koletzko B, Poindexter B, Uauy R, eds. </w:t>
      </w:r>
      <w:r w:rsidRPr="004530CE">
        <w:rPr>
          <w:rStyle w:val="highwire-cite-metadata-pages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Nutritional Care of Preterm Infants: Scientific Basis and Practical Guidelines</w:t>
      </w:r>
      <w:r w:rsidRPr="004530CE">
        <w:rPr>
          <w:rStyle w:val="highwire-cite-metadata-pages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>Basel, Switzerland: Karger; 2014</w:t>
      </w:r>
    </w:p>
    <w:p w:rsidR="00757AF5" w:rsidRPr="004530CE" w:rsidRDefault="00757AF5" w:rsidP="004530CE">
      <w:pPr>
        <w:pStyle w:val="referencestext"/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530CE">
        <w:rPr>
          <w:rFonts w:ascii="Times New Roman" w:hAnsi="Times New Roman" w:cs="Times New Roman"/>
          <w:color w:val="auto"/>
          <w:sz w:val="24"/>
          <w:szCs w:val="24"/>
        </w:rPr>
        <w:t xml:space="preserve">Koo W, Tice H. Human milk fortifiers do not meet the current recommendations for nutrients in very low birth weight infants. </w:t>
      </w:r>
      <w:r w:rsidRPr="004530CE">
        <w:rPr>
          <w:rFonts w:ascii="Times New Roman" w:hAnsi="Times New Roman" w:cs="Times New Roman"/>
          <w:i/>
          <w:sz w:val="24"/>
          <w:szCs w:val="24"/>
        </w:rPr>
        <w:t>JPEN J Parenter Enteral Nutr</w:t>
      </w:r>
      <w:r w:rsidRPr="004530CE">
        <w:rPr>
          <w:rFonts w:ascii="Times New Roman" w:hAnsi="Times New Roman" w:cs="Times New Roman"/>
          <w:sz w:val="24"/>
          <w:szCs w:val="24"/>
        </w:rPr>
        <w:t>.</w:t>
      </w:r>
      <w:r w:rsidR="00452EE9" w:rsidRPr="004530CE">
        <w:rPr>
          <w:rFonts w:ascii="Times New Roman" w:hAnsi="Times New Roman" w:cs="Times New Roman"/>
          <w:sz w:val="24"/>
          <w:szCs w:val="24"/>
        </w:rPr>
        <w:t xml:space="preserve"> </w:t>
      </w:r>
      <w:r w:rsidRPr="004530CE">
        <w:rPr>
          <w:rFonts w:ascii="Times New Roman" w:hAnsi="Times New Roman" w:cs="Times New Roman"/>
          <w:sz w:val="24"/>
          <w:szCs w:val="24"/>
        </w:rPr>
        <w:t>2018;42(4):813-820.</w:t>
      </w:r>
      <w:r w:rsidRPr="004530CE" w:rsidDel="00677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86F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530CE">
        <w:rPr>
          <w:rFonts w:ascii="Times New Roman" w:hAnsi="Times New Roman"/>
          <w:sz w:val="24"/>
          <w:szCs w:val="24"/>
        </w:rPr>
        <w:t xml:space="preserve">Lapillone A, Connor DL, Wang D, Rigo J. Nutritional recommendations for the late-preterm and the preterm infant after hospital discharge. </w:t>
      </w:r>
      <w:r w:rsidRPr="004530CE">
        <w:rPr>
          <w:rFonts w:ascii="Times New Roman" w:hAnsi="Times New Roman"/>
          <w:i/>
          <w:sz w:val="24"/>
          <w:szCs w:val="24"/>
        </w:rPr>
        <w:t>J Pediatr.</w:t>
      </w:r>
      <w:r w:rsidRPr="004530CE">
        <w:rPr>
          <w:rFonts w:ascii="Times New Roman" w:hAnsi="Times New Roman"/>
          <w:sz w:val="24"/>
          <w:szCs w:val="24"/>
        </w:rPr>
        <w:t xml:space="preserve"> 2013;62:S90-100</w:t>
      </w:r>
      <w:r w:rsidR="00452EE9" w:rsidRPr="004530CE">
        <w:rPr>
          <w:rFonts w:ascii="Times New Roman" w:hAnsi="Times New Roman"/>
          <w:sz w:val="24"/>
          <w:szCs w:val="24"/>
        </w:rPr>
        <w:t>.</w:t>
      </w:r>
    </w:p>
    <w:p w:rsidR="00757AF5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530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Lau C. Development of infant oral feeding skills: what do we know? </w:t>
      </w:r>
      <w:r w:rsidRPr="004530CE">
        <w:rPr>
          <w:rStyle w:val="jrnl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Am J Clin Nutr</w:t>
      </w:r>
      <w:r w:rsidRPr="004530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2016;103:616S-621S.</w:t>
      </w:r>
    </w:p>
    <w:p w:rsidR="00757AF5" w:rsidRPr="004530CE" w:rsidRDefault="00757AF5" w:rsidP="004530CE">
      <w:pPr>
        <w:shd w:val="clear" w:color="auto" w:fill="FFFFFF"/>
        <w:spacing w:line="480" w:lineRule="auto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4530CE">
        <w:rPr>
          <w:rFonts w:ascii="Times New Roman" w:eastAsia="Times New Roman" w:hAnsi="Times New Roman"/>
          <w:sz w:val="24"/>
          <w:szCs w:val="24"/>
        </w:rPr>
        <w:t xml:space="preserve">Lewis ED, Richard C, Larsen BM, Field CJ. The importance of human milk for immunity in preterm infants. </w:t>
      </w:r>
      <w:r w:rsidRPr="004530CE">
        <w:rPr>
          <w:rFonts w:ascii="Times New Roman" w:hAnsi="Times New Roman"/>
          <w:i/>
          <w:sz w:val="24"/>
          <w:szCs w:val="24"/>
        </w:rPr>
        <w:t>Clin Perinatol</w:t>
      </w:r>
      <w:r w:rsidRPr="004530CE">
        <w:rPr>
          <w:rFonts w:ascii="Times New Roman" w:hAnsi="Times New Roman"/>
          <w:sz w:val="24"/>
          <w:szCs w:val="24"/>
        </w:rPr>
        <w:t>. 2017;44:23-47.</w:t>
      </w:r>
    </w:p>
    <w:p w:rsidR="00757AF5" w:rsidRPr="004530CE" w:rsidRDefault="00757AF5" w:rsidP="004530CE">
      <w:pPr>
        <w:shd w:val="clear" w:color="auto" w:fill="FFFFFF"/>
        <w:spacing w:line="480" w:lineRule="auto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4530CE">
        <w:rPr>
          <w:rFonts w:ascii="Times New Roman" w:hAnsi="Times New Roman"/>
          <w:sz w:val="24"/>
          <w:szCs w:val="24"/>
        </w:rPr>
        <w:t xml:space="preserve">Martin CR. Lipids and fatty acids in the preterm infant, part 2: clinical considerations. </w:t>
      </w:r>
      <w:r w:rsidRPr="004530CE">
        <w:rPr>
          <w:rFonts w:ascii="Times New Roman" w:hAnsi="Times New Roman"/>
          <w:i/>
          <w:sz w:val="24"/>
          <w:szCs w:val="24"/>
        </w:rPr>
        <w:t>NeoReviews</w:t>
      </w:r>
      <w:r w:rsidRPr="004530CE">
        <w:rPr>
          <w:rFonts w:ascii="Times New Roman" w:hAnsi="Times New Roman"/>
          <w:sz w:val="24"/>
          <w:szCs w:val="24"/>
        </w:rPr>
        <w:t xml:space="preserve">. 2015;16:e169-e180. </w:t>
      </w:r>
    </w:p>
    <w:p w:rsidR="00757AF5" w:rsidRPr="004530CE" w:rsidRDefault="00757AF5" w:rsidP="004530CE">
      <w:pPr>
        <w:shd w:val="clear" w:color="auto" w:fill="FFFFFF"/>
        <w:spacing w:line="480" w:lineRule="auto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4530CE">
        <w:rPr>
          <w:rStyle w:val="highwire-cite-metadata-pages"/>
          <w:rFonts w:ascii="Times New Roman" w:hAnsi="Times New Roman"/>
          <w:color w:val="444444"/>
          <w:sz w:val="24"/>
          <w:szCs w:val="24"/>
          <w:bdr w:val="none" w:sz="0" w:space="0" w:color="auto" w:frame="1"/>
          <w:shd w:val="clear" w:color="auto" w:fill="FFFFFF"/>
        </w:rPr>
        <w:t>Meier PP, Johnson TJ, Patel AL, Rossman B</w:t>
      </w:r>
      <w:r w:rsidRPr="004530CE">
        <w:rPr>
          <w:rFonts w:ascii="Times New Roman" w:hAnsi="Times New Roman"/>
          <w:sz w:val="24"/>
          <w:szCs w:val="24"/>
        </w:rPr>
        <w:t xml:space="preserve">. Evidence based methods that promote human milk feeding of preterm infants. An expert review. </w:t>
      </w:r>
      <w:r w:rsidRPr="004530CE">
        <w:rPr>
          <w:rFonts w:ascii="Times New Roman" w:hAnsi="Times New Roman"/>
          <w:i/>
          <w:sz w:val="24"/>
          <w:szCs w:val="24"/>
        </w:rPr>
        <w:t xml:space="preserve">Clin Perinatol. </w:t>
      </w:r>
      <w:r w:rsidRPr="004530CE">
        <w:rPr>
          <w:rFonts w:ascii="Times New Roman" w:hAnsi="Times New Roman"/>
          <w:sz w:val="24"/>
          <w:szCs w:val="24"/>
        </w:rPr>
        <w:t>2017;44:1-22.</w:t>
      </w:r>
    </w:p>
    <w:p w:rsidR="00757AF5" w:rsidRPr="004530CE" w:rsidRDefault="00757AF5" w:rsidP="004530CE">
      <w:pPr>
        <w:shd w:val="clear" w:color="auto" w:fill="FFFFFF"/>
        <w:spacing w:line="48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Mimouni FB, Nathan N, Ziegler EE, et al. The use of multi-nutrient human milk fortifiers in preterm infants: a systematic review of unanswered questions. </w:t>
      </w:r>
      <w:r w:rsidRPr="004530CE">
        <w:rPr>
          <w:rFonts w:ascii="Times New Roman" w:hAnsi="Times New Roman"/>
          <w:i/>
          <w:sz w:val="24"/>
          <w:szCs w:val="24"/>
        </w:rPr>
        <w:t>Clin Perinatol</w:t>
      </w:r>
      <w:r w:rsidRPr="004530CE">
        <w:rPr>
          <w:rFonts w:ascii="Times New Roman" w:hAnsi="Times New Roman"/>
          <w:sz w:val="24"/>
          <w:szCs w:val="24"/>
        </w:rPr>
        <w:t>. 2017;44: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173-178. </w:t>
      </w:r>
    </w:p>
    <w:p w:rsidR="0004086F" w:rsidRPr="004530CE" w:rsidRDefault="00757AF5" w:rsidP="004530CE">
      <w:pPr>
        <w:shd w:val="clear" w:color="auto" w:fill="FFFFFF"/>
        <w:spacing w:line="480" w:lineRule="auto"/>
        <w:ind w:left="0" w:firstLine="0"/>
        <w:textAlignment w:val="baseline"/>
        <w:rPr>
          <w:rFonts w:ascii="Times New Roman" w:hAnsi="Times New Roman"/>
          <w:spacing w:val="-7"/>
          <w:sz w:val="24"/>
          <w:szCs w:val="24"/>
        </w:rPr>
      </w:pPr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>Parker LA</w:t>
      </w:r>
      <w:r w:rsidRPr="004530CE">
        <w:rPr>
          <w:rStyle w:val="highwire-citation-authors"/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="006E7C8D" w:rsidRPr="004530CE">
        <w:rPr>
          <w:rStyle w:val="highwire-citation-authors"/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>Neu</w:t>
      </w:r>
      <w:proofErr w:type="spellEnd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 xml:space="preserve"> J</w:t>
      </w:r>
      <w:r w:rsidRPr="004530CE">
        <w:rPr>
          <w:rStyle w:val="highwire-citation-authors"/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="006E7C8D" w:rsidRPr="004530CE">
        <w:rPr>
          <w:rStyle w:val="highwire-citation-authors"/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>Murgas</w:t>
      </w:r>
      <w:proofErr w:type="spellEnd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>Torrazza</w:t>
      </w:r>
      <w:proofErr w:type="spellEnd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 xml:space="preserve"> R</w:t>
      </w:r>
      <w:r w:rsidRPr="004530CE">
        <w:rPr>
          <w:rStyle w:val="highwire-citation-authors"/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="006E7C8D" w:rsidRPr="004530CE">
        <w:rPr>
          <w:rStyle w:val="highwire-citation-authors"/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</w:rPr>
        <w:t xml:space="preserve">Li Y. </w:t>
      </w:r>
      <w:r w:rsidRPr="004530CE">
        <w:rPr>
          <w:rFonts w:ascii="Times New Roman" w:hAnsi="Times New Roman"/>
          <w:bCs/>
          <w:spacing w:val="-7"/>
          <w:sz w:val="24"/>
          <w:szCs w:val="24"/>
        </w:rPr>
        <w:t xml:space="preserve">Scientifically based strategies for enteral feeding in premature infants. </w:t>
      </w:r>
      <w:r w:rsidRPr="004530CE">
        <w:rPr>
          <w:rFonts w:ascii="Times New Roman" w:hAnsi="Times New Roman"/>
          <w:i/>
          <w:sz w:val="24"/>
          <w:szCs w:val="24"/>
          <w:bdr w:val="none" w:sz="0" w:space="0" w:color="auto" w:frame="1"/>
        </w:rPr>
        <w:t>NeoReviews</w:t>
      </w:r>
      <w:r w:rsidRPr="004530CE">
        <w:rPr>
          <w:rFonts w:ascii="Times New Roman" w:hAnsi="Times New Roman"/>
          <w:sz w:val="24"/>
          <w:szCs w:val="24"/>
          <w:bdr w:val="none" w:sz="0" w:space="0" w:color="auto" w:frame="1"/>
        </w:rPr>
        <w:t>. 2013;14:e350-359.</w:t>
      </w:r>
    </w:p>
    <w:p w:rsidR="0004086F" w:rsidRPr="004530CE" w:rsidRDefault="00757AF5" w:rsidP="004530CE">
      <w:pPr>
        <w:shd w:val="clear" w:color="auto" w:fill="FFFFFF"/>
        <w:spacing w:line="480" w:lineRule="auto"/>
        <w:ind w:left="0" w:firstLine="0"/>
        <w:textAlignment w:val="baseline"/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4530CE">
        <w:rPr>
          <w:rFonts w:ascii="Times New Roman" w:hAnsi="Times New Roman"/>
          <w:spacing w:val="-7"/>
          <w:sz w:val="24"/>
          <w:szCs w:val="24"/>
        </w:rPr>
        <w:t>Radmacher</w:t>
      </w:r>
      <w:proofErr w:type="spellEnd"/>
      <w:r w:rsidRPr="004530CE">
        <w:rPr>
          <w:rFonts w:ascii="Times New Roman" w:hAnsi="Times New Roman"/>
          <w:spacing w:val="-7"/>
          <w:sz w:val="24"/>
          <w:szCs w:val="24"/>
        </w:rPr>
        <w:t xml:space="preserve"> PG, </w:t>
      </w:r>
      <w:proofErr w:type="spellStart"/>
      <w:r w:rsidRPr="004530CE">
        <w:rPr>
          <w:rFonts w:ascii="Times New Roman" w:hAnsi="Times New Roman"/>
          <w:spacing w:val="-7"/>
          <w:sz w:val="24"/>
          <w:szCs w:val="24"/>
        </w:rPr>
        <w:t>Adamkin</w:t>
      </w:r>
      <w:proofErr w:type="spellEnd"/>
      <w:r w:rsidRPr="004530CE">
        <w:rPr>
          <w:rFonts w:ascii="Times New Roman" w:hAnsi="Times New Roman"/>
          <w:spacing w:val="-7"/>
          <w:sz w:val="24"/>
          <w:szCs w:val="24"/>
        </w:rPr>
        <w:t xml:space="preserve"> DH. Fortification</w:t>
      </w:r>
      <w:r w:rsidRPr="004530CE">
        <w:rPr>
          <w:rFonts w:ascii="Times New Roman" w:hAnsi="Times New Roman"/>
          <w:color w:val="131313"/>
          <w:spacing w:val="-7"/>
          <w:sz w:val="24"/>
          <w:szCs w:val="24"/>
        </w:rPr>
        <w:t xml:space="preserve"> of human milk for preterm infants. </w:t>
      </w:r>
      <w:r w:rsidRPr="004530CE">
        <w:rPr>
          <w:rFonts w:ascii="Times New Roman" w:hAnsi="Times New Roman"/>
          <w:i/>
          <w:color w:val="131313"/>
          <w:spacing w:val="-7"/>
          <w:sz w:val="24"/>
          <w:szCs w:val="24"/>
        </w:rPr>
        <w:t>Semin Fetal Neonatal Med</w:t>
      </w:r>
      <w:r w:rsidRPr="004530CE">
        <w:rPr>
          <w:rFonts w:ascii="Times New Roman" w:hAnsi="Times New Roman"/>
          <w:color w:val="131313"/>
          <w:spacing w:val="-7"/>
          <w:sz w:val="24"/>
          <w:szCs w:val="24"/>
        </w:rPr>
        <w:t>. 2017;22:30-35.</w:t>
      </w:r>
    </w:p>
    <w:p w:rsidR="00757AF5" w:rsidRPr="004530CE" w:rsidRDefault="00757AF5" w:rsidP="004530CE">
      <w:pPr>
        <w:shd w:val="clear" w:color="auto" w:fill="FFFFFF"/>
        <w:spacing w:line="480" w:lineRule="auto"/>
        <w:ind w:left="0" w:firstLine="0"/>
        <w:textAlignment w:val="baseline"/>
        <w:rPr>
          <w:rFonts w:ascii="Times New Roman" w:hAnsi="Times New Roman"/>
          <w:b/>
          <w:bCs/>
          <w:spacing w:val="-7"/>
          <w:sz w:val="24"/>
          <w:szCs w:val="24"/>
        </w:rPr>
      </w:pPr>
      <w:proofErr w:type="spellStart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Raghuram</w:t>
      </w:r>
      <w:proofErr w:type="spellEnd"/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K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6E7C8D"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Yang J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6E7C8D"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Church PT</w:t>
      </w:r>
      <w:r w:rsidRPr="004530CE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6E7C8D" w:rsidRPr="004530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530CE">
        <w:rPr>
          <w:rStyle w:val="highwire-citation-author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et al. </w:t>
      </w:r>
      <w:r w:rsidRPr="004530CE">
        <w:rPr>
          <w:rFonts w:ascii="Times New Roman" w:hAnsi="Times New Roman"/>
          <w:spacing w:val="-7"/>
          <w:sz w:val="24"/>
          <w:szCs w:val="24"/>
        </w:rPr>
        <w:t xml:space="preserve">Head growth trajectory and neurodevelopmental outcomes in preterm neonates. </w:t>
      </w:r>
      <w:r w:rsidRPr="004530CE">
        <w:rPr>
          <w:rFonts w:ascii="Times New Roman" w:hAnsi="Times New Roman"/>
          <w:i/>
          <w:spacing w:val="-7"/>
          <w:sz w:val="24"/>
          <w:szCs w:val="24"/>
        </w:rPr>
        <w:t>Pediatrics</w:t>
      </w:r>
      <w:r w:rsidRPr="004530CE">
        <w:rPr>
          <w:rFonts w:ascii="Times New Roman" w:hAnsi="Times New Roman"/>
          <w:spacing w:val="-7"/>
          <w:sz w:val="24"/>
          <w:szCs w:val="24"/>
        </w:rPr>
        <w:t xml:space="preserve">. 2017;10:e20170216. </w:t>
      </w:r>
    </w:p>
    <w:p w:rsidR="00757AF5" w:rsidRPr="004530CE" w:rsidRDefault="00757AF5" w:rsidP="004530CE">
      <w:pPr>
        <w:spacing w:line="480" w:lineRule="auto"/>
        <w:ind w:left="0" w:firstLine="0"/>
        <w:rPr>
          <w:rFonts w:ascii="Times New Roman" w:hAnsi="Times New Roman"/>
          <w:sz w:val="24"/>
          <w:szCs w:val="24"/>
        </w:rPr>
      </w:pPr>
      <w:r w:rsidRPr="0004086F">
        <w:rPr>
          <w:rFonts w:ascii="Times New Roman" w:hAnsi="Times New Roman"/>
          <w:sz w:val="24"/>
          <w:szCs w:val="24"/>
        </w:rPr>
        <w:t>Reece-Stretman S,</w:t>
      </w:r>
      <w:r w:rsidRPr="004530CE">
        <w:rPr>
          <w:rFonts w:ascii="Times New Roman" w:hAnsi="Times New Roman"/>
          <w:sz w:val="24"/>
          <w:szCs w:val="24"/>
        </w:rPr>
        <w:t xml:space="preserve"> Marinelli KA. AMB clinical protocol # 21: guidelines for breast feeding and substance use or substance abuse disorder. </w:t>
      </w:r>
      <w:r w:rsidRPr="004530CE">
        <w:rPr>
          <w:rFonts w:ascii="Times New Roman" w:hAnsi="Times New Roman"/>
          <w:i/>
          <w:sz w:val="24"/>
          <w:szCs w:val="24"/>
        </w:rPr>
        <w:t>Breastfeed Med</w:t>
      </w:r>
      <w:r w:rsidRPr="004530CE">
        <w:rPr>
          <w:rFonts w:ascii="Times New Roman" w:hAnsi="Times New Roman"/>
          <w:sz w:val="24"/>
          <w:szCs w:val="24"/>
        </w:rPr>
        <w:t>. 2015;10:135-141.</w:t>
      </w:r>
    </w:p>
    <w:p w:rsidR="00757AF5" w:rsidRPr="004530CE" w:rsidRDefault="00757AF5" w:rsidP="004530CE">
      <w:pPr>
        <w:pStyle w:val="desc"/>
        <w:shd w:val="clear" w:color="auto" w:fill="FFFFFF"/>
        <w:spacing w:before="0" w:beforeAutospacing="0" w:after="0" w:afterAutospacing="0" w:line="480" w:lineRule="auto"/>
        <w:ind w:left="0" w:firstLine="0"/>
        <w:rPr>
          <w:color w:val="000000"/>
        </w:rPr>
      </w:pPr>
      <w:r w:rsidRPr="004530CE">
        <w:t xml:space="preserve">Valentine CJ, Dumm M. Pasteurized donor human milk use in the neonatal intensive care unit. </w:t>
      </w:r>
      <w:r w:rsidRPr="004530CE">
        <w:rPr>
          <w:i/>
        </w:rPr>
        <w:t>NeoReviews</w:t>
      </w:r>
      <w:r w:rsidRPr="004530CE">
        <w:t>. 2015;16:e152-e159</w:t>
      </w:r>
      <w:r w:rsidRPr="004530CE">
        <w:rPr>
          <w:color w:val="000000"/>
        </w:rPr>
        <w:t>.</w:t>
      </w:r>
    </w:p>
    <w:p w:rsidR="00F56D0A" w:rsidRDefault="00F56D0A" w:rsidP="004530CE">
      <w:pPr>
        <w:ind w:left="0" w:firstLine="0"/>
      </w:pPr>
    </w:p>
    <w:sectPr w:rsidR="00F56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F5"/>
    <w:rsid w:val="0004086F"/>
    <w:rsid w:val="00452EE9"/>
    <w:rsid w:val="004530CE"/>
    <w:rsid w:val="006E7C8D"/>
    <w:rsid w:val="00757AF5"/>
    <w:rsid w:val="00CE40BD"/>
    <w:rsid w:val="00F5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F5"/>
    <w:pPr>
      <w:spacing w:after="0" w:line="360" w:lineRule="auto"/>
      <w:ind w:left="360" w:hanging="360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7AF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line="480" w:lineRule="auto"/>
      <w:jc w:val="both"/>
      <w:textAlignment w:val="center"/>
      <w:outlineLvl w:val="0"/>
    </w:pPr>
    <w:rPr>
      <w:rFonts w:ascii="Times New Roman" w:eastAsia="Times New Roman" w:hAnsi="Times New Roman" w:cs="TimesNewRomanPS-BoldMT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AF5"/>
    <w:rPr>
      <w:rFonts w:ascii="Times New Roman" w:eastAsia="Times New Roman" w:hAnsi="Times New Roman" w:cs="TimesNewRomanPS-BoldMT"/>
      <w:b/>
      <w:bCs/>
      <w:sz w:val="24"/>
      <w:szCs w:val="24"/>
    </w:rPr>
  </w:style>
  <w:style w:type="paragraph" w:customStyle="1" w:styleId="referencesheading">
    <w:name w:val="references_heading"/>
    <w:basedOn w:val="Normal"/>
    <w:uiPriority w:val="99"/>
    <w:rsid w:val="00757AF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757AF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desc">
    <w:name w:val="desc"/>
    <w:basedOn w:val="Normal"/>
    <w:rsid w:val="00757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rsid w:val="00757AF5"/>
  </w:style>
  <w:style w:type="character" w:customStyle="1" w:styleId="highwire-citation-authors">
    <w:name w:val="highwire-citation-authors"/>
    <w:rsid w:val="00757AF5"/>
  </w:style>
  <w:style w:type="character" w:customStyle="1" w:styleId="highwire-citation-author">
    <w:name w:val="highwire-citation-author"/>
    <w:rsid w:val="00757AF5"/>
  </w:style>
  <w:style w:type="character" w:customStyle="1" w:styleId="highwire-cite-metadata-pages">
    <w:name w:val="highwire-cite-metadata-pages"/>
    <w:rsid w:val="00757AF5"/>
  </w:style>
  <w:style w:type="paragraph" w:styleId="BalloonText">
    <w:name w:val="Balloon Text"/>
    <w:basedOn w:val="Normal"/>
    <w:link w:val="BalloonTextChar"/>
    <w:uiPriority w:val="99"/>
    <w:semiHidden/>
    <w:unhideWhenUsed/>
    <w:rsid w:val="00452E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E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F5"/>
    <w:pPr>
      <w:spacing w:after="0" w:line="360" w:lineRule="auto"/>
      <w:ind w:left="360" w:hanging="360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7AF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line="480" w:lineRule="auto"/>
      <w:jc w:val="both"/>
      <w:textAlignment w:val="center"/>
      <w:outlineLvl w:val="0"/>
    </w:pPr>
    <w:rPr>
      <w:rFonts w:ascii="Times New Roman" w:eastAsia="Times New Roman" w:hAnsi="Times New Roman" w:cs="TimesNewRomanPS-BoldMT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AF5"/>
    <w:rPr>
      <w:rFonts w:ascii="Times New Roman" w:eastAsia="Times New Roman" w:hAnsi="Times New Roman" w:cs="TimesNewRomanPS-BoldMT"/>
      <w:b/>
      <w:bCs/>
      <w:sz w:val="24"/>
      <w:szCs w:val="24"/>
    </w:rPr>
  </w:style>
  <w:style w:type="paragraph" w:customStyle="1" w:styleId="referencesheading">
    <w:name w:val="references_heading"/>
    <w:basedOn w:val="Normal"/>
    <w:uiPriority w:val="99"/>
    <w:rsid w:val="00757AF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757AF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desc">
    <w:name w:val="desc"/>
    <w:basedOn w:val="Normal"/>
    <w:rsid w:val="00757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rsid w:val="00757AF5"/>
  </w:style>
  <w:style w:type="character" w:customStyle="1" w:styleId="highwire-citation-authors">
    <w:name w:val="highwire-citation-authors"/>
    <w:rsid w:val="00757AF5"/>
  </w:style>
  <w:style w:type="character" w:customStyle="1" w:styleId="highwire-citation-author">
    <w:name w:val="highwire-citation-author"/>
    <w:rsid w:val="00757AF5"/>
  </w:style>
  <w:style w:type="character" w:customStyle="1" w:styleId="highwire-cite-metadata-pages">
    <w:name w:val="highwire-cite-metadata-pages"/>
    <w:rsid w:val="00757AF5"/>
  </w:style>
  <w:style w:type="paragraph" w:styleId="BalloonText">
    <w:name w:val="Balloon Text"/>
    <w:basedOn w:val="Normal"/>
    <w:link w:val="BalloonTextChar"/>
    <w:uiPriority w:val="99"/>
    <w:semiHidden/>
    <w:unhideWhenUsed/>
    <w:rsid w:val="00452E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diatrics.aappublications.org/content/139/1/e201634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2019-06-04T12:30:00Z</dcterms:created>
  <dcterms:modified xsi:type="dcterms:W3CDTF">2019-10-15T08:23:00Z</dcterms:modified>
</cp:coreProperties>
</file>