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D5" w:rsidRPr="00DD00D8" w:rsidRDefault="00C61BD5" w:rsidP="008D114C">
      <w:pPr>
        <w:pStyle w:val="heading-01"/>
        <w:spacing w:after="0" w:line="480" w:lineRule="auto"/>
        <w:rPr>
          <w:rFonts w:ascii="Times New Roman" w:hAnsi="Times New Roman" w:cs="Times New Roman"/>
          <w:color w:val="000000"/>
          <w:sz w:val="36"/>
        </w:rPr>
      </w:pPr>
      <w:r w:rsidRPr="00DD00D8">
        <w:rPr>
          <w:rFonts w:ascii="Times New Roman" w:hAnsi="Times New Roman" w:cs="Times New Roman"/>
          <w:color w:val="000000"/>
          <w:sz w:val="36"/>
        </w:rPr>
        <w:t xml:space="preserve">109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DD00D8">
        <w:rPr>
          <w:rFonts w:ascii="Times New Roman" w:hAnsi="Times New Roman" w:cs="Times New Roman"/>
          <w:color w:val="000000"/>
          <w:sz w:val="36"/>
        </w:rPr>
        <w:t>Necrotizing Enterocolitis</w:t>
      </w:r>
      <w:r w:rsidRPr="00DD00D8" w:rsidDel="00C61BD5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8D114C" w:rsidRPr="005A10DA" w:rsidRDefault="008D114C" w:rsidP="008D114C">
      <w:pPr>
        <w:pStyle w:val="heading-01"/>
        <w:spacing w:after="0" w:line="480" w:lineRule="auto"/>
        <w:rPr>
          <w:rFonts w:ascii="Times New Roman" w:hAnsi="Times New Roman" w:cs="Times New Roman"/>
          <w:color w:val="auto"/>
        </w:rPr>
      </w:pPr>
      <w:r w:rsidRPr="005A10DA">
        <w:rPr>
          <w:rFonts w:ascii="Times New Roman" w:hAnsi="Times New Roman" w:cs="Times New Roman"/>
          <w:color w:val="auto"/>
        </w:rPr>
        <w:t>Selected References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bookmarkStart w:id="0" w:name="_GoBack"/>
      <w:proofErr w:type="spellStart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Aliev</w:t>
      </w:r>
      <w:proofErr w:type="spellEnd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MM, </w:t>
      </w:r>
      <w:proofErr w:type="spellStart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Dekhgonboev</w:t>
      </w:r>
      <w:proofErr w:type="spellEnd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AA, Yuldashev RZ. Advantages of abdominal ultrasound in the management of infants with necrotizing enterocolitis.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Pediatr Surg Int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2017;33:213-216.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proofErr w:type="gramStart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Cordova J, Sriram S, Patton T, et al. Manifestations of cow</w:t>
      </w:r>
      <w:r w:rsidR="00C61BD5">
        <w:rPr>
          <w:rFonts w:ascii="Times New Roman" w:hAnsi="Times New Roman" w:cs="Times New Roman"/>
          <w:color w:val="auto"/>
          <w:spacing w:val="3"/>
          <w:sz w:val="24"/>
          <w:szCs w:val="24"/>
        </w:rPr>
        <w:t>’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s-milk protein intolerance in preterm infants.</w:t>
      </w:r>
      <w:proofErr w:type="gramEnd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J Pediatr Gastroenterol Nutr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2016</w:t>
      </w:r>
      <w:proofErr w:type="gramStart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;62:140</w:t>
      </w:r>
      <w:proofErr w:type="gramEnd"/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-144.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Costeloe K, Hardy P, Juszczak E, et al. Bifidobacterium breve BBG-001 in very preterm infants: a randomised controlled phase 3 trial.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Lancet</w:t>
      </w:r>
      <w:r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2016;387:649-660.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Esaiassen E, Fjalstad JW, Juvet LK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>,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et al. Antibiotic exposure in neonates and early adverse outcomes: a systematic review and meta-analysis.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J Antimicrob Chemother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. 2017;72:1858-1870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>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Hay S, Zupancic JA, Flannery DD, et al. Should we believe in transfusion-associated enterocol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>i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tis? Applying a grade to literature.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Seminal Perinatol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. 2017;41:80-91.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MacQueen BC, Christensen RD, Lamert DK, et al. Measuring stool concentrations of calprotectin as part of the “rule out necr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>o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tizing enterocolitis” evaluation.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J Perinatol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2016;36:862-869.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Maffei D, Schanler RJ. Human milk is the feeding strategy to prevent necrotizing enterocolitis.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Semin Perinatol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2017;41:36-40.</w:t>
      </w:r>
    </w:p>
    <w:p w:rsidR="008D114C" w:rsidRPr="00BD34CD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>Moss RL, Dimmitt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RA, Barnhart DC,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et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>al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.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Laparotomy versus 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peritoneal drainage for necrotizing enterocolitis and perforation.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5E1A65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N Engl J Med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.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2006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;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>354:2225-2234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.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z w:val="24"/>
          <w:szCs w:val="24"/>
        </w:rPr>
        <w:t xml:space="preserve">Nino DF, Sodhi CP, Hackman DJ. Necrotizing enterocolitis: new insights into pathogenesis and mechanisms. </w:t>
      </w:r>
      <w:r w:rsidRPr="005A10DA">
        <w:rPr>
          <w:rFonts w:ascii="Times New Roman" w:hAnsi="Times New Roman" w:cs="Times New Roman"/>
          <w:i/>
          <w:color w:val="auto"/>
          <w:sz w:val="24"/>
          <w:szCs w:val="24"/>
        </w:rPr>
        <w:t>Nat Rev Gastroenterol Hepatol</w:t>
      </w:r>
      <w:r w:rsidRPr="005A10DA">
        <w:rPr>
          <w:rFonts w:ascii="Times New Roman" w:hAnsi="Times New Roman" w:cs="Times New Roman"/>
          <w:color w:val="auto"/>
          <w:sz w:val="24"/>
          <w:szCs w:val="24"/>
        </w:rPr>
        <w:t>. 2016;13:590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5A10DA">
        <w:rPr>
          <w:rFonts w:ascii="Times New Roman" w:hAnsi="Times New Roman" w:cs="Times New Roman"/>
          <w:color w:val="auto"/>
          <w:sz w:val="24"/>
          <w:szCs w:val="24"/>
        </w:rPr>
        <w:t xml:space="preserve">600. 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lastRenderedPageBreak/>
        <w:t>Rees CM, Eaton S, Kiely EM, Wade AM, McHugh K, Pierro A. Peritoneal drainage or laparotomy for neonatal bowel perforation? A randomized controlled trial.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DD00D8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Ann Surg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.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2008;248(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>1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):</w:t>
      </w:r>
      <w:r w:rsidRPr="00BD34CD">
        <w:rPr>
          <w:rFonts w:ascii="Times New Roman" w:hAnsi="Times New Roman" w:cs="Times New Roman"/>
          <w:color w:val="auto"/>
          <w:spacing w:val="3"/>
          <w:sz w:val="24"/>
          <w:szCs w:val="24"/>
        </w:rPr>
        <w:t>44-51</w:t>
      </w:r>
      <w:r w:rsidRPr="005E1A65">
        <w:rPr>
          <w:rFonts w:ascii="Times New Roman" w:hAnsi="Times New Roman" w:cs="Times New Roman"/>
          <w:color w:val="auto"/>
          <w:spacing w:val="3"/>
          <w:sz w:val="24"/>
          <w:szCs w:val="24"/>
        </w:rPr>
        <w:t>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z w:val="24"/>
          <w:szCs w:val="24"/>
        </w:rPr>
        <w:t xml:space="preserve">Rusconi B, Good M, Warner BB. The microbiome and biomarkers for necrotizing enterocolitis: are we any closer to prediction? </w:t>
      </w:r>
      <w:r w:rsidRPr="005A10DA">
        <w:rPr>
          <w:rFonts w:ascii="Times New Roman" w:hAnsi="Times New Roman" w:cs="Times New Roman"/>
          <w:i/>
          <w:color w:val="auto"/>
          <w:sz w:val="24"/>
          <w:szCs w:val="24"/>
        </w:rPr>
        <w:t>J Pediatr.</w:t>
      </w:r>
      <w:r w:rsidRPr="005A10DA">
        <w:rPr>
          <w:rFonts w:ascii="Times New Roman" w:hAnsi="Times New Roman" w:cs="Times New Roman"/>
          <w:color w:val="auto"/>
          <w:sz w:val="24"/>
          <w:szCs w:val="24"/>
        </w:rPr>
        <w:t xml:space="preserve"> 2017;189:40-47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z w:val="24"/>
          <w:szCs w:val="24"/>
        </w:rPr>
        <w:t>Sawh SC, Deshpande S, Jansen S, et al.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A10DA">
        <w:rPr>
          <w:rFonts w:ascii="Times New Roman" w:hAnsi="Times New Roman" w:cs="Times New Roman"/>
          <w:color w:val="auto"/>
          <w:sz w:val="24"/>
          <w:szCs w:val="24"/>
        </w:rPr>
        <w:t>Prevention of necrotizing enterocolitis with probiotics: a systematic review and meta-analysis.</w:t>
      </w:r>
      <w:r w:rsidRPr="005A10DA">
        <w:rPr>
          <w:rFonts w:ascii="Times New Roman" w:hAnsi="Times New Roman" w:cs="Times New Roman"/>
          <w:i/>
          <w:color w:val="auto"/>
          <w:sz w:val="24"/>
          <w:szCs w:val="24"/>
        </w:rPr>
        <w:t xml:space="preserve"> Peer J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z w:val="24"/>
          <w:szCs w:val="24"/>
        </w:rPr>
        <w:t>2016;4:e2429.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Underwood MA. Impact of probiotics on necrotizing enterocolitis.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Semin Perinatol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2017;41:41-51.</w:t>
      </w:r>
    </w:p>
    <w:p w:rsidR="008D114C" w:rsidRPr="005A10DA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Warner BB, Deych E, Hhou Y, et al. Gut bacteria dysbiosis and necrotizing enterocolitis in very low birth weight infants: a prospective case-control study.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Lancet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. 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2016;387:1928-1936.</w:t>
      </w:r>
    </w:p>
    <w:p w:rsidR="008D114C" w:rsidRDefault="008D114C" w:rsidP="00DD00D8">
      <w:pPr>
        <w:pStyle w:val="referencestext"/>
        <w:tabs>
          <w:tab w:val="clear" w:pos="360"/>
          <w:tab w:val="left" w:pos="27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pacing w:val="3"/>
          <w:sz w:val="24"/>
          <w:szCs w:val="24"/>
        </w:rPr>
      </w:pP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Wadhawan R, Oh W, Hintz SR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>,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et al. Neurodevelopmental outcomes of extremely low birth weight infants with spontaneous intestinal perforation or surgical necrotizing enterocolitis.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J</w:t>
      </w:r>
      <w:r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 xml:space="preserve"> </w:t>
      </w:r>
      <w:r w:rsidRPr="005A10DA">
        <w:rPr>
          <w:rFonts w:ascii="Times New Roman" w:hAnsi="Times New Roman" w:cs="Times New Roman"/>
          <w:i/>
          <w:color w:val="auto"/>
          <w:spacing w:val="3"/>
          <w:sz w:val="24"/>
          <w:szCs w:val="24"/>
        </w:rPr>
        <w:t>Perinatol</w:t>
      </w:r>
      <w:r w:rsidRPr="005A10DA">
        <w:rPr>
          <w:rFonts w:ascii="Times New Roman" w:hAnsi="Times New Roman" w:cs="Times New Roman"/>
          <w:color w:val="auto"/>
          <w:spacing w:val="3"/>
          <w:sz w:val="24"/>
          <w:szCs w:val="24"/>
        </w:rPr>
        <w:t>. 2014;34:64-70.</w:t>
      </w:r>
    </w:p>
    <w:bookmarkEnd w:id="0"/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4C"/>
    <w:rsid w:val="001F2A98"/>
    <w:rsid w:val="00324B09"/>
    <w:rsid w:val="003A1EC9"/>
    <w:rsid w:val="008D114C"/>
    <w:rsid w:val="00C61BD5"/>
    <w:rsid w:val="00DD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8D114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8D114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8D114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8D114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2019-07-23T07:03:00Z</dcterms:created>
  <dcterms:modified xsi:type="dcterms:W3CDTF">2019-10-16T08:16:00Z</dcterms:modified>
</cp:coreProperties>
</file>