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0E" w:rsidRPr="003E57FA" w:rsidRDefault="00C8480E" w:rsidP="00FF5BA4">
      <w:pPr>
        <w:pStyle w:val="referencesheading"/>
        <w:spacing w:after="0" w:line="360" w:lineRule="auto"/>
        <w:rPr>
          <w:rFonts w:ascii="Times New Roman" w:hAnsi="Times New Roman" w:cs="Times New Roman"/>
          <w:color w:val="000000"/>
          <w:sz w:val="36"/>
        </w:rPr>
      </w:pPr>
      <w:r w:rsidRPr="003E57FA">
        <w:rPr>
          <w:rFonts w:ascii="Times New Roman" w:hAnsi="Times New Roman" w:cs="Times New Roman"/>
          <w:color w:val="000000"/>
          <w:sz w:val="36"/>
        </w:rPr>
        <w:t xml:space="preserve">40 </w:t>
      </w:r>
      <w:r w:rsidR="003E57FA">
        <w:rPr>
          <w:rFonts w:ascii="Times New Roman" w:hAnsi="Times New Roman" w:cs="Times New Roman"/>
          <w:color w:val="000000"/>
          <w:sz w:val="36"/>
        </w:rPr>
        <w:t xml:space="preserve">  </w:t>
      </w:r>
      <w:r w:rsidRPr="003E57FA">
        <w:rPr>
          <w:rFonts w:ascii="Times New Roman" w:hAnsi="Times New Roman" w:cs="Times New Roman"/>
          <w:color w:val="000000"/>
          <w:sz w:val="36"/>
        </w:rPr>
        <w:t>Paracentesis (Abdominal)</w:t>
      </w:r>
      <w:r w:rsidRPr="003E57FA" w:rsidDel="00C8480E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D5301E" w:rsidRPr="00131D85" w:rsidRDefault="00D5301E" w:rsidP="00FF5BA4">
      <w:pPr>
        <w:pStyle w:val="referencesheading"/>
        <w:spacing w:after="0" w:line="360" w:lineRule="auto"/>
        <w:rPr>
          <w:rFonts w:ascii="Times New Roman" w:hAnsi="Times New Roman" w:cs="TimesNewRomanPS-BoldMT"/>
          <w:color w:val="auto"/>
        </w:rPr>
      </w:pPr>
      <w:r w:rsidRPr="004F68B2">
        <w:rPr>
          <w:rFonts w:ascii="Times New Roman" w:hAnsi="Times New Roman" w:cs="TimesNewRomanPS-BoldMT"/>
          <w:color w:val="auto"/>
        </w:rPr>
        <w:t>Selected</w:t>
      </w:r>
      <w:r w:rsidRPr="00131D85">
        <w:rPr>
          <w:rFonts w:ascii="Times New Roman" w:hAnsi="Times New Roman" w:cs="TimesNewRomanPS-BoldMT"/>
          <w:color w:val="auto"/>
        </w:rPr>
        <w:t xml:space="preserve"> References</w:t>
      </w:r>
      <w:bookmarkStart w:id="0" w:name="_GoBack"/>
      <w:bookmarkEnd w:id="0"/>
    </w:p>
    <w:p w:rsidR="00D5301E" w:rsidRDefault="00D5301E" w:rsidP="00FF5BA4">
      <w:pPr>
        <w:pStyle w:val="referencesheading"/>
        <w:spacing w:after="0" w:line="360" w:lineRule="auto"/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</w:pP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Aslam M, </w:t>
      </w:r>
      <w:proofErr w:type="spellStart"/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DeGrazia</w:t>
      </w:r>
      <w:proofErr w:type="spellEnd"/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 M, Gregory ML. Diagnostic evaluation of neonatal ascites. </w:t>
      </w:r>
      <w:r w:rsidRPr="009A1B9E">
        <w:rPr>
          <w:rFonts w:ascii="Times New Roman" w:eastAsia="Calibri" w:hAnsi="Times New Roman" w:cs="TimesNewRomanPSMT"/>
          <w:b w:val="0"/>
          <w:bCs w:val="0"/>
          <w:i/>
          <w:color w:val="auto"/>
          <w:szCs w:val="22"/>
        </w:rPr>
        <w:t>Am J Perinatol.</w:t>
      </w: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 2007;24(10):603-609.</w:t>
      </w:r>
    </w:p>
    <w:p w:rsidR="00D5301E" w:rsidRDefault="00D5301E" w:rsidP="00FF5BA4">
      <w:pPr>
        <w:pStyle w:val="referencesheading"/>
        <w:spacing w:after="0" w:line="360" w:lineRule="auto"/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</w:pP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Lane ER, Hsu EK, Murray KF. Management of ascites in children. </w:t>
      </w:r>
      <w:r w:rsidRPr="004F68B2">
        <w:rPr>
          <w:rFonts w:ascii="Times New Roman" w:eastAsia="Calibri" w:hAnsi="Times New Roman" w:cs="TimesNewRomanPSMT"/>
          <w:b w:val="0"/>
          <w:bCs w:val="0"/>
          <w:i/>
          <w:color w:val="auto"/>
          <w:szCs w:val="22"/>
        </w:rPr>
        <w:t>Exp</w:t>
      </w:r>
      <w:r w:rsidRPr="009A1B9E">
        <w:rPr>
          <w:rFonts w:ascii="Times New Roman" w:eastAsia="Calibri" w:hAnsi="Times New Roman"/>
          <w:b w:val="0"/>
          <w:i/>
          <w:color w:val="auto"/>
        </w:rPr>
        <w:t xml:space="preserve"> Rev Gastroenterol Hepatol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. 2015;9(10):1281-</w:t>
      </w:r>
      <w:r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12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92.</w:t>
      </w:r>
    </w:p>
    <w:p w:rsidR="00D5301E" w:rsidRPr="002237FC" w:rsidRDefault="00D5301E" w:rsidP="00FF5BA4">
      <w:pPr>
        <w:pStyle w:val="referencesheading"/>
        <w:spacing w:after="0" w:line="360" w:lineRule="auto"/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</w:pP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Marin JR, Abo AM, Arroyo AC, et al. Pediatric emergency medicine point of care ultrasound: summary of the evidence. </w:t>
      </w:r>
      <w:r w:rsidRPr="009A1B9E">
        <w:rPr>
          <w:rFonts w:ascii="Times New Roman" w:eastAsia="Calibri" w:hAnsi="Times New Roman" w:cs="TimesNewRomanPSMT"/>
          <w:b w:val="0"/>
          <w:bCs w:val="0"/>
          <w:i/>
          <w:color w:val="auto"/>
          <w:szCs w:val="22"/>
        </w:rPr>
        <w:t>Crit Ultrasound J</w:t>
      </w: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. 2016;8(1):16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 </w:t>
      </w:r>
    </w:p>
    <w:p w:rsidR="00D5301E" w:rsidRDefault="00D5301E" w:rsidP="00FF5BA4">
      <w:pPr>
        <w:pStyle w:val="referencesheading"/>
        <w:spacing w:after="0" w:line="360" w:lineRule="auto"/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</w:pP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Mouravas V, Dede O, Hatziioannidis H</w:t>
      </w:r>
      <w:r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,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 et al. Diagnosis and management of congenital neonatal chylous ascites. </w:t>
      </w:r>
      <w:r w:rsidRPr="009A1B9E">
        <w:rPr>
          <w:rFonts w:ascii="Times New Roman" w:eastAsia="Calibri" w:hAnsi="Times New Roman"/>
          <w:b w:val="0"/>
          <w:i/>
          <w:color w:val="auto"/>
        </w:rPr>
        <w:t>Hippokratia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. 2012;16(2):175</w:t>
      </w:r>
      <w:r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-</w:t>
      </w:r>
      <w:r w:rsidRPr="002237FC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>180.</w:t>
      </w:r>
    </w:p>
    <w:p w:rsidR="00D5301E" w:rsidRPr="002237FC" w:rsidRDefault="00D5301E" w:rsidP="00FF5BA4">
      <w:pPr>
        <w:pStyle w:val="referencesheading"/>
        <w:spacing w:after="0" w:line="360" w:lineRule="auto"/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</w:pP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Ramgopal S, Scholz S, Marin JR. Point-of-care ultrasound in acute neonatal ascites. </w:t>
      </w:r>
      <w:r w:rsidRPr="009A1B9E">
        <w:rPr>
          <w:rFonts w:ascii="Times New Roman" w:eastAsia="Calibri" w:hAnsi="Times New Roman" w:cs="TimesNewRomanPSMT"/>
          <w:b w:val="0"/>
          <w:bCs w:val="0"/>
          <w:i/>
          <w:color w:val="auto"/>
          <w:szCs w:val="22"/>
        </w:rPr>
        <w:t>Pediatr Emerg Care.</w:t>
      </w:r>
      <w:r w:rsidRPr="00483691">
        <w:rPr>
          <w:rFonts w:ascii="Times New Roman" w:eastAsia="Calibri" w:hAnsi="Times New Roman" w:cs="TimesNewRomanPSMT"/>
          <w:b w:val="0"/>
          <w:bCs w:val="0"/>
          <w:color w:val="auto"/>
          <w:szCs w:val="22"/>
        </w:rPr>
        <w:t xml:space="preserve"> 2017;33(8):599-601.</w:t>
      </w:r>
    </w:p>
    <w:p w:rsidR="005743B4" w:rsidRDefault="005743B4" w:rsidP="00FF5BA4">
      <w:pPr>
        <w:spacing w:line="360" w:lineRule="auto"/>
      </w:pPr>
    </w:p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1E"/>
    <w:rsid w:val="003031E8"/>
    <w:rsid w:val="003E57FA"/>
    <w:rsid w:val="005743B4"/>
    <w:rsid w:val="00C8480E"/>
    <w:rsid w:val="00D5301E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D5301E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D5301E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2019-06-18T06:29:00Z</dcterms:created>
  <dcterms:modified xsi:type="dcterms:W3CDTF">2019-10-16T07:52:00Z</dcterms:modified>
</cp:coreProperties>
</file>